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C510" w14:textId="77777777" w:rsidR="003213F2" w:rsidRDefault="009C165D">
      <w:pPr>
        <w:pStyle w:val="NormalWeb"/>
        <w:rPr>
          <w:sz w:val="20"/>
          <w:szCs w:val="20"/>
        </w:rPr>
      </w:pPr>
      <w:r>
        <w:rPr>
          <w:sz w:val="20"/>
          <w:szCs w:val="20"/>
        </w:rPr>
        <w:t> </w:t>
      </w:r>
    </w:p>
    <w:p w14:paraId="2CA9CF28" w14:textId="77777777" w:rsidR="003213F2" w:rsidRDefault="009C165D">
      <w:pPr>
        <w:pStyle w:val="NormalWeb"/>
        <w:spacing w:before="0" w:beforeAutospacing="0" w:after="0" w:afterAutospacing="0"/>
        <w:rPr>
          <w:rFonts w:ascii="Arial" w:hAnsi="Arial" w:cs="Arial"/>
          <w:sz w:val="20"/>
          <w:szCs w:val="20"/>
        </w:rPr>
      </w:pPr>
      <w:r>
        <w:rPr>
          <w:rFonts w:ascii="Arial" w:hAnsi="Arial" w:cs="Arial"/>
          <w:sz w:val="20"/>
          <w:szCs w:val="20"/>
        </w:rPr>
        <w:t> </w:t>
      </w:r>
    </w:p>
    <w:p w14:paraId="097CEAEE" w14:textId="77777777" w:rsidR="003213F2" w:rsidRDefault="009C165D">
      <w:pPr>
        <w:divId w:val="1820224655"/>
        <w:rPr>
          <w:rFonts w:ascii="Arial" w:eastAsia="Times New Roman" w:hAnsi="Arial" w:cs="Arial"/>
          <w:sz w:val="2"/>
          <w:szCs w:val="2"/>
        </w:rPr>
      </w:pPr>
      <w:r>
        <w:rPr>
          <w:rFonts w:ascii="Arial" w:eastAsia="Times New Roman" w:hAnsi="Arial" w:cs="Arial"/>
          <w:sz w:val="2"/>
          <w:szCs w:val="2"/>
        </w:rPr>
        <w:t> </w:t>
      </w:r>
    </w:p>
    <w:p w14:paraId="184D652F" w14:textId="77777777" w:rsidR="003213F2" w:rsidRDefault="009C165D">
      <w:pPr>
        <w:pStyle w:val="NormalWeb"/>
        <w:spacing w:before="0" w:beforeAutospacing="0" w:after="0" w:afterAutospacing="0"/>
        <w:rPr>
          <w:rFonts w:ascii="Arial" w:hAnsi="Arial" w:cs="Arial"/>
          <w:sz w:val="20"/>
          <w:szCs w:val="20"/>
        </w:rPr>
      </w:pPr>
      <w:r>
        <w:rPr>
          <w:rFonts w:ascii="Arial" w:hAnsi="Arial" w:cs="Arial"/>
          <w:sz w:val="20"/>
          <w:szCs w:val="20"/>
        </w:rPr>
        <w:t> </w:t>
      </w:r>
    </w:p>
    <w:p w14:paraId="6C2F82CE" w14:textId="77777777" w:rsidR="003213F2" w:rsidRDefault="009C165D">
      <w:pPr>
        <w:pStyle w:val="NormalWeb"/>
        <w:spacing w:before="0" w:beforeAutospacing="0" w:after="0" w:afterAutospacing="0"/>
        <w:jc w:val="center"/>
        <w:rPr>
          <w:b/>
          <w:bCs/>
          <w:sz w:val="36"/>
          <w:szCs w:val="36"/>
        </w:rPr>
      </w:pPr>
      <w:r>
        <w:rPr>
          <w:b/>
          <w:bCs/>
          <w:sz w:val="36"/>
          <w:szCs w:val="36"/>
        </w:rPr>
        <w:t>UNITED STATES</w:t>
      </w:r>
    </w:p>
    <w:p w14:paraId="75BA04A8" w14:textId="77777777" w:rsidR="003213F2" w:rsidRDefault="009C165D">
      <w:pPr>
        <w:pStyle w:val="NormalWeb"/>
        <w:spacing w:before="0" w:beforeAutospacing="0" w:after="0" w:afterAutospacing="0"/>
        <w:jc w:val="center"/>
        <w:rPr>
          <w:b/>
          <w:bCs/>
          <w:sz w:val="36"/>
          <w:szCs w:val="36"/>
        </w:rPr>
      </w:pPr>
      <w:r>
        <w:rPr>
          <w:b/>
          <w:bCs/>
          <w:sz w:val="36"/>
          <w:szCs w:val="36"/>
        </w:rPr>
        <w:t>SECURITIES AND EXCHANGE COMMISSION</w:t>
      </w:r>
    </w:p>
    <w:p w14:paraId="7C51898E" w14:textId="77777777" w:rsidR="003213F2" w:rsidRDefault="009C165D">
      <w:pPr>
        <w:pStyle w:val="NormalWeb"/>
        <w:spacing w:before="0" w:beforeAutospacing="0" w:after="0" w:afterAutospacing="0"/>
        <w:jc w:val="center"/>
        <w:rPr>
          <w:b/>
          <w:bCs/>
          <w:sz w:val="20"/>
          <w:szCs w:val="20"/>
        </w:rPr>
      </w:pPr>
      <w:r>
        <w:rPr>
          <w:b/>
          <w:bCs/>
          <w:sz w:val="20"/>
          <w:szCs w:val="20"/>
        </w:rPr>
        <w:t>Washington, D.C. 20549</w:t>
      </w:r>
    </w:p>
    <w:p w14:paraId="5F16F569" w14:textId="77777777" w:rsidR="003213F2" w:rsidRDefault="009C165D">
      <w:pPr>
        <w:pStyle w:val="NormalWeb"/>
        <w:spacing w:before="0" w:beforeAutospacing="0" w:after="0" w:afterAutospacing="0"/>
        <w:jc w:val="center"/>
        <w:rPr>
          <w:b/>
          <w:bCs/>
          <w:sz w:val="20"/>
          <w:szCs w:val="20"/>
        </w:rPr>
      </w:pPr>
      <w:r>
        <w:rPr>
          <w:b/>
          <w:bCs/>
          <w:sz w:val="20"/>
          <w:szCs w:val="20"/>
        </w:rPr>
        <w:t> </w:t>
      </w:r>
    </w:p>
    <w:p w14:paraId="0ED19B7C" w14:textId="77777777" w:rsidR="003213F2" w:rsidRDefault="009C165D">
      <w:pPr>
        <w:pStyle w:val="NormalWeb"/>
        <w:spacing w:before="0" w:beforeAutospacing="0" w:after="0" w:afterAutospacing="0"/>
        <w:jc w:val="center"/>
        <w:rPr>
          <w:b/>
          <w:bCs/>
          <w:sz w:val="36"/>
          <w:szCs w:val="36"/>
        </w:rPr>
      </w:pPr>
      <w:r>
        <w:rPr>
          <w:b/>
          <w:bCs/>
          <w:sz w:val="36"/>
          <w:szCs w:val="36"/>
        </w:rPr>
        <w:t>FORM 8-K</w:t>
      </w:r>
    </w:p>
    <w:p w14:paraId="1A468B76" w14:textId="77777777" w:rsidR="003213F2" w:rsidRDefault="009C165D">
      <w:pPr>
        <w:pStyle w:val="NormalWeb"/>
        <w:spacing w:before="0" w:beforeAutospacing="0" w:after="0" w:afterAutospacing="0"/>
        <w:jc w:val="center"/>
        <w:rPr>
          <w:b/>
          <w:bCs/>
          <w:sz w:val="20"/>
          <w:szCs w:val="20"/>
        </w:rPr>
      </w:pPr>
      <w:r>
        <w:rPr>
          <w:b/>
          <w:bCs/>
          <w:sz w:val="20"/>
          <w:szCs w:val="20"/>
        </w:rPr>
        <w:t> </w:t>
      </w:r>
    </w:p>
    <w:p w14:paraId="1F60F62D" w14:textId="77777777" w:rsidR="003213F2" w:rsidRDefault="009C165D">
      <w:pPr>
        <w:pStyle w:val="NormalWeb"/>
        <w:spacing w:before="0" w:beforeAutospacing="0" w:after="0" w:afterAutospacing="0"/>
        <w:jc w:val="center"/>
        <w:rPr>
          <w:b/>
          <w:bCs/>
        </w:rPr>
      </w:pPr>
      <w:r>
        <w:rPr>
          <w:b/>
          <w:bCs/>
        </w:rPr>
        <w:t>CURRENT REPORT</w:t>
      </w:r>
    </w:p>
    <w:p w14:paraId="65D0DAB0" w14:textId="77777777" w:rsidR="003213F2" w:rsidRDefault="009C165D">
      <w:pPr>
        <w:pStyle w:val="NormalWeb"/>
        <w:spacing w:before="0" w:beforeAutospacing="0" w:after="0" w:afterAutospacing="0"/>
        <w:jc w:val="center"/>
        <w:rPr>
          <w:b/>
          <w:bCs/>
        </w:rPr>
      </w:pPr>
      <w:r>
        <w:rPr>
          <w:b/>
          <w:bCs/>
        </w:rPr>
        <w:t>Pursuant to Section 13 or 15(d) of the</w:t>
      </w:r>
    </w:p>
    <w:p w14:paraId="18627093" w14:textId="77777777" w:rsidR="003213F2" w:rsidRDefault="009C165D">
      <w:pPr>
        <w:pStyle w:val="NormalWeb"/>
        <w:spacing w:before="0" w:beforeAutospacing="0" w:after="0" w:afterAutospacing="0"/>
        <w:jc w:val="center"/>
        <w:rPr>
          <w:b/>
          <w:bCs/>
        </w:rPr>
      </w:pPr>
      <w:r>
        <w:rPr>
          <w:b/>
          <w:bCs/>
        </w:rPr>
        <w:t>Securities Exchange Act of 1934</w:t>
      </w:r>
    </w:p>
    <w:p w14:paraId="13857AB1" w14:textId="77777777" w:rsidR="003213F2" w:rsidRDefault="009C165D">
      <w:pPr>
        <w:pStyle w:val="NormalWeb"/>
        <w:spacing w:before="0" w:beforeAutospacing="0" w:after="0" w:afterAutospacing="0"/>
        <w:jc w:val="center"/>
        <w:rPr>
          <w:b/>
          <w:bCs/>
          <w:sz w:val="20"/>
          <w:szCs w:val="20"/>
        </w:rPr>
      </w:pPr>
      <w:r>
        <w:rPr>
          <w:b/>
          <w:bCs/>
          <w:sz w:val="20"/>
          <w:szCs w:val="20"/>
        </w:rPr>
        <w:t> </w:t>
      </w:r>
    </w:p>
    <w:p w14:paraId="02C09020" w14:textId="77777777" w:rsidR="003213F2" w:rsidRDefault="009C165D">
      <w:pPr>
        <w:pStyle w:val="NormalWeb"/>
        <w:spacing w:before="0" w:beforeAutospacing="0" w:after="0" w:afterAutospacing="0"/>
        <w:jc w:val="center"/>
        <w:rPr>
          <w:sz w:val="20"/>
          <w:szCs w:val="20"/>
        </w:rPr>
      </w:pPr>
      <w:r>
        <w:rPr>
          <w:sz w:val="20"/>
          <w:szCs w:val="20"/>
        </w:rPr>
        <w:t xml:space="preserve">Date of Report (Date of earliest event reported): June 18, 2026 </w:t>
      </w:r>
    </w:p>
    <w:p w14:paraId="3065DB77" w14:textId="77777777" w:rsidR="003213F2" w:rsidRDefault="009C165D">
      <w:pPr>
        <w:pStyle w:val="NormalWeb"/>
        <w:spacing w:before="0" w:beforeAutospacing="0" w:after="0" w:afterAutospacing="0"/>
        <w:jc w:val="center"/>
        <w:rPr>
          <w:sz w:val="20"/>
          <w:szCs w:val="20"/>
        </w:rPr>
      </w:pPr>
      <w:r>
        <w:rPr>
          <w:sz w:val="20"/>
          <w:szCs w:val="20"/>
        </w:rPr>
        <w:t> </w:t>
      </w:r>
    </w:p>
    <w:p w14:paraId="4EA134C8" w14:textId="77777777" w:rsidR="003213F2" w:rsidRDefault="009C165D">
      <w:pPr>
        <w:pStyle w:val="NormalWeb"/>
        <w:spacing w:before="0" w:beforeAutospacing="0" w:after="0" w:afterAutospacing="0"/>
        <w:jc w:val="center"/>
        <w:rPr>
          <w:b/>
          <w:bCs/>
          <w:sz w:val="36"/>
          <w:szCs w:val="36"/>
        </w:rPr>
      </w:pPr>
      <w:r>
        <w:rPr>
          <w:b/>
          <w:bCs/>
          <w:sz w:val="36"/>
          <w:szCs w:val="36"/>
        </w:rPr>
        <w:t>ABBVIE INC.</w:t>
      </w:r>
    </w:p>
    <w:p w14:paraId="1972B141" w14:textId="77777777" w:rsidR="003213F2" w:rsidRDefault="009C165D">
      <w:pPr>
        <w:pStyle w:val="NormalWeb"/>
        <w:spacing w:before="0" w:beforeAutospacing="0" w:after="0" w:afterAutospacing="0"/>
        <w:jc w:val="center"/>
        <w:rPr>
          <w:sz w:val="20"/>
          <w:szCs w:val="20"/>
        </w:rPr>
      </w:pPr>
      <w:r>
        <w:rPr>
          <w:sz w:val="20"/>
          <w:szCs w:val="20"/>
        </w:rPr>
        <w:t>(Exact name of registrant as specified in its charter)</w:t>
      </w:r>
    </w:p>
    <w:p w14:paraId="6006C0DC" w14:textId="77777777" w:rsidR="003213F2" w:rsidRDefault="009C165D">
      <w:pPr>
        <w:pStyle w:val="NormalWeb"/>
        <w:spacing w:before="0" w:beforeAutospacing="0" w:after="0" w:afterAutospacing="0"/>
        <w:jc w:val="center"/>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2996"/>
        <w:gridCol w:w="187"/>
        <w:gridCol w:w="2995"/>
        <w:gridCol w:w="187"/>
        <w:gridCol w:w="2995"/>
      </w:tblGrid>
      <w:tr w:rsidR="003213F2" w14:paraId="5BC01880" w14:textId="77777777">
        <w:tc>
          <w:tcPr>
            <w:tcW w:w="1600" w:type="pct"/>
            <w:vAlign w:val="bottom"/>
            <w:hideMark/>
          </w:tcPr>
          <w:p w14:paraId="7E21A53D" w14:textId="77777777" w:rsidR="003213F2" w:rsidRDefault="009C165D">
            <w:pPr>
              <w:jc w:val="center"/>
              <w:rPr>
                <w:rFonts w:eastAsia="Times New Roman"/>
                <w:b/>
                <w:bCs/>
                <w:sz w:val="20"/>
                <w:szCs w:val="20"/>
              </w:rPr>
            </w:pPr>
            <w:r>
              <w:rPr>
                <w:rFonts w:eastAsia="Times New Roman"/>
                <w:b/>
                <w:bCs/>
                <w:sz w:val="20"/>
                <w:szCs w:val="20"/>
              </w:rPr>
              <w:t>Delaware</w:t>
            </w:r>
          </w:p>
        </w:tc>
        <w:tc>
          <w:tcPr>
            <w:tcW w:w="100" w:type="pct"/>
            <w:vAlign w:val="bottom"/>
            <w:hideMark/>
          </w:tcPr>
          <w:p w14:paraId="6BCD15E2" w14:textId="77777777" w:rsidR="003213F2" w:rsidRDefault="009C165D">
            <w:pPr>
              <w:jc w:val="center"/>
              <w:rPr>
                <w:rFonts w:eastAsia="Times New Roman"/>
                <w:b/>
                <w:bCs/>
                <w:sz w:val="20"/>
                <w:szCs w:val="20"/>
              </w:rPr>
            </w:pPr>
            <w:r>
              <w:rPr>
                <w:rFonts w:eastAsia="Times New Roman"/>
                <w:b/>
                <w:bCs/>
                <w:sz w:val="20"/>
                <w:szCs w:val="20"/>
              </w:rPr>
              <w:t> </w:t>
            </w:r>
          </w:p>
        </w:tc>
        <w:tc>
          <w:tcPr>
            <w:tcW w:w="1600" w:type="pct"/>
            <w:vAlign w:val="bottom"/>
            <w:hideMark/>
          </w:tcPr>
          <w:p w14:paraId="35CD81B4" w14:textId="77777777" w:rsidR="003213F2" w:rsidRDefault="009C165D">
            <w:pPr>
              <w:jc w:val="center"/>
              <w:rPr>
                <w:rFonts w:eastAsia="Times New Roman"/>
                <w:b/>
                <w:bCs/>
                <w:sz w:val="20"/>
                <w:szCs w:val="20"/>
              </w:rPr>
            </w:pPr>
            <w:r>
              <w:rPr>
                <w:rFonts w:eastAsia="Times New Roman"/>
                <w:b/>
                <w:bCs/>
                <w:sz w:val="20"/>
                <w:szCs w:val="20"/>
              </w:rPr>
              <w:t>001-35565</w:t>
            </w:r>
          </w:p>
        </w:tc>
        <w:tc>
          <w:tcPr>
            <w:tcW w:w="100" w:type="pct"/>
            <w:vAlign w:val="bottom"/>
            <w:hideMark/>
          </w:tcPr>
          <w:p w14:paraId="27F5A0F2" w14:textId="77777777" w:rsidR="003213F2" w:rsidRDefault="009C165D">
            <w:pPr>
              <w:jc w:val="center"/>
              <w:rPr>
                <w:rFonts w:eastAsia="Times New Roman"/>
                <w:b/>
                <w:bCs/>
                <w:sz w:val="20"/>
                <w:szCs w:val="20"/>
              </w:rPr>
            </w:pPr>
            <w:r>
              <w:rPr>
                <w:rFonts w:eastAsia="Times New Roman"/>
                <w:b/>
                <w:bCs/>
                <w:sz w:val="20"/>
                <w:szCs w:val="20"/>
              </w:rPr>
              <w:t> </w:t>
            </w:r>
          </w:p>
        </w:tc>
        <w:tc>
          <w:tcPr>
            <w:tcW w:w="1600" w:type="pct"/>
            <w:vAlign w:val="bottom"/>
            <w:hideMark/>
          </w:tcPr>
          <w:p w14:paraId="152C337E" w14:textId="77777777" w:rsidR="003213F2" w:rsidRDefault="009C165D">
            <w:pPr>
              <w:jc w:val="center"/>
              <w:rPr>
                <w:rFonts w:eastAsia="Times New Roman"/>
                <w:b/>
                <w:bCs/>
                <w:sz w:val="20"/>
                <w:szCs w:val="20"/>
              </w:rPr>
            </w:pPr>
            <w:r>
              <w:rPr>
                <w:rFonts w:eastAsia="Times New Roman"/>
                <w:b/>
                <w:bCs/>
                <w:sz w:val="20"/>
                <w:szCs w:val="20"/>
              </w:rPr>
              <w:t>32-0375147</w:t>
            </w:r>
          </w:p>
        </w:tc>
      </w:tr>
      <w:tr w:rsidR="003213F2" w14:paraId="4D4EFCDE" w14:textId="77777777">
        <w:tc>
          <w:tcPr>
            <w:tcW w:w="0" w:type="auto"/>
            <w:hideMark/>
          </w:tcPr>
          <w:p w14:paraId="7378DB63" w14:textId="77777777" w:rsidR="003213F2" w:rsidRDefault="009C165D">
            <w:pPr>
              <w:jc w:val="center"/>
              <w:rPr>
                <w:rFonts w:eastAsia="Times New Roman"/>
                <w:sz w:val="20"/>
                <w:szCs w:val="20"/>
              </w:rPr>
            </w:pPr>
            <w:r>
              <w:rPr>
                <w:rFonts w:eastAsia="Times New Roman"/>
                <w:sz w:val="20"/>
                <w:szCs w:val="20"/>
              </w:rPr>
              <w:t>(State or other jurisdiction</w:t>
            </w:r>
            <w:r>
              <w:rPr>
                <w:rFonts w:eastAsia="Times New Roman"/>
                <w:sz w:val="20"/>
                <w:szCs w:val="20"/>
              </w:rPr>
              <w:br/>
              <w:t>of incorporation)</w:t>
            </w:r>
          </w:p>
        </w:tc>
        <w:tc>
          <w:tcPr>
            <w:tcW w:w="0" w:type="auto"/>
            <w:hideMark/>
          </w:tcPr>
          <w:p w14:paraId="7E854C96" w14:textId="77777777" w:rsidR="003213F2" w:rsidRDefault="009C165D">
            <w:pPr>
              <w:jc w:val="center"/>
              <w:rPr>
                <w:rFonts w:eastAsia="Times New Roman"/>
                <w:sz w:val="20"/>
                <w:szCs w:val="20"/>
              </w:rPr>
            </w:pPr>
            <w:r>
              <w:rPr>
                <w:rFonts w:eastAsia="Times New Roman"/>
                <w:sz w:val="20"/>
                <w:szCs w:val="20"/>
              </w:rPr>
              <w:t> </w:t>
            </w:r>
          </w:p>
        </w:tc>
        <w:tc>
          <w:tcPr>
            <w:tcW w:w="0" w:type="auto"/>
            <w:hideMark/>
          </w:tcPr>
          <w:p w14:paraId="5AD81EC9" w14:textId="77777777" w:rsidR="003213F2" w:rsidRDefault="009C165D">
            <w:pPr>
              <w:jc w:val="center"/>
              <w:rPr>
                <w:rFonts w:eastAsia="Times New Roman"/>
                <w:sz w:val="20"/>
                <w:szCs w:val="20"/>
              </w:rPr>
            </w:pPr>
            <w:r>
              <w:rPr>
                <w:rFonts w:eastAsia="Times New Roman"/>
                <w:sz w:val="20"/>
                <w:szCs w:val="20"/>
              </w:rPr>
              <w:t>(Commission File Number)</w:t>
            </w:r>
          </w:p>
        </w:tc>
        <w:tc>
          <w:tcPr>
            <w:tcW w:w="0" w:type="auto"/>
            <w:hideMark/>
          </w:tcPr>
          <w:p w14:paraId="3021EE72" w14:textId="77777777" w:rsidR="003213F2" w:rsidRDefault="009C165D">
            <w:pPr>
              <w:jc w:val="center"/>
              <w:rPr>
                <w:rFonts w:eastAsia="Times New Roman"/>
                <w:sz w:val="20"/>
                <w:szCs w:val="20"/>
              </w:rPr>
            </w:pPr>
            <w:r>
              <w:rPr>
                <w:rFonts w:eastAsia="Times New Roman"/>
                <w:sz w:val="20"/>
                <w:szCs w:val="20"/>
              </w:rPr>
              <w:t> </w:t>
            </w:r>
          </w:p>
        </w:tc>
        <w:tc>
          <w:tcPr>
            <w:tcW w:w="0" w:type="auto"/>
            <w:hideMark/>
          </w:tcPr>
          <w:p w14:paraId="20C554B2" w14:textId="77777777" w:rsidR="003213F2" w:rsidRDefault="009C165D">
            <w:pPr>
              <w:jc w:val="center"/>
              <w:rPr>
                <w:rFonts w:eastAsia="Times New Roman"/>
                <w:sz w:val="20"/>
                <w:szCs w:val="20"/>
              </w:rPr>
            </w:pPr>
            <w:r>
              <w:rPr>
                <w:rFonts w:eastAsia="Times New Roman"/>
                <w:sz w:val="20"/>
                <w:szCs w:val="20"/>
              </w:rPr>
              <w:t>(IRS Employer</w:t>
            </w:r>
            <w:r>
              <w:rPr>
                <w:rFonts w:eastAsia="Times New Roman"/>
                <w:sz w:val="20"/>
                <w:szCs w:val="20"/>
              </w:rPr>
              <w:br/>
              <w:t>Identification No.)</w:t>
            </w:r>
          </w:p>
        </w:tc>
      </w:tr>
    </w:tbl>
    <w:p w14:paraId="6A47A012" w14:textId="77777777" w:rsidR="003213F2" w:rsidRDefault="009C165D">
      <w:pPr>
        <w:pStyle w:val="NormalWeb"/>
        <w:spacing w:before="0" w:beforeAutospacing="0" w:after="0" w:afterAutospacing="0"/>
        <w:jc w:val="center"/>
        <w:rPr>
          <w:b/>
          <w:bCs/>
          <w:sz w:val="20"/>
          <w:szCs w:val="20"/>
        </w:rPr>
      </w:pPr>
      <w:r>
        <w:rPr>
          <w:b/>
          <w:bCs/>
          <w:sz w:val="20"/>
          <w:szCs w:val="20"/>
        </w:rPr>
        <w:t> </w:t>
      </w:r>
    </w:p>
    <w:p w14:paraId="58D4C10F" w14:textId="77777777" w:rsidR="003213F2" w:rsidRDefault="009C165D">
      <w:pPr>
        <w:divId w:val="1577396946"/>
        <w:rPr>
          <w:rFonts w:ascii="Arial" w:eastAsia="Times New Roman" w:hAnsi="Arial" w:cs="Arial"/>
          <w:sz w:val="2"/>
          <w:szCs w:val="2"/>
        </w:rPr>
      </w:pPr>
      <w:r>
        <w:rPr>
          <w:rFonts w:ascii="Arial" w:eastAsia="Times New Roman" w:hAnsi="Arial" w:cs="Arial"/>
          <w:sz w:val="2"/>
          <w:szCs w:val="2"/>
        </w:rPr>
        <w:t> </w:t>
      </w:r>
    </w:p>
    <w:p w14:paraId="74FF3337" w14:textId="77777777" w:rsidR="003213F2" w:rsidRDefault="009C165D">
      <w:pPr>
        <w:pStyle w:val="NormalWeb"/>
        <w:spacing w:before="0" w:beforeAutospacing="0" w:after="0" w:afterAutospacing="0"/>
        <w:jc w:val="center"/>
        <w:rPr>
          <w:b/>
          <w:bCs/>
          <w:sz w:val="20"/>
          <w:szCs w:val="20"/>
        </w:rPr>
      </w:pPr>
      <w:r>
        <w:rPr>
          <w:b/>
          <w:bCs/>
          <w:sz w:val="20"/>
          <w:szCs w:val="20"/>
        </w:rPr>
        <w:t> </w:t>
      </w:r>
    </w:p>
    <w:p w14:paraId="7D5CABDB" w14:textId="77777777" w:rsidR="003213F2" w:rsidRDefault="009C165D">
      <w:pPr>
        <w:pStyle w:val="NormalWeb"/>
        <w:spacing w:before="0" w:beforeAutospacing="0" w:after="0" w:afterAutospacing="0"/>
        <w:jc w:val="center"/>
        <w:rPr>
          <w:b/>
          <w:bCs/>
          <w:sz w:val="20"/>
          <w:szCs w:val="20"/>
        </w:rPr>
      </w:pPr>
      <w:r>
        <w:rPr>
          <w:b/>
          <w:bCs/>
          <w:sz w:val="2"/>
          <w:szCs w:val="2"/>
        </w:rPr>
        <w:t> </w:t>
      </w:r>
    </w:p>
    <w:p w14:paraId="6739D988" w14:textId="77777777" w:rsidR="003213F2" w:rsidRDefault="009C165D">
      <w:pPr>
        <w:pStyle w:val="NormalWeb"/>
        <w:spacing w:before="0" w:beforeAutospacing="0" w:after="0" w:afterAutospacing="0"/>
        <w:jc w:val="center"/>
        <w:rPr>
          <w:b/>
          <w:bCs/>
          <w:sz w:val="20"/>
          <w:szCs w:val="20"/>
        </w:rPr>
      </w:pPr>
      <w:r>
        <w:rPr>
          <w:b/>
          <w:bCs/>
          <w:sz w:val="20"/>
          <w:szCs w:val="20"/>
        </w:rPr>
        <w:t>1 North Waukegan Road</w:t>
      </w:r>
    </w:p>
    <w:p w14:paraId="315B22AE" w14:textId="77777777" w:rsidR="003213F2" w:rsidRDefault="009C165D">
      <w:pPr>
        <w:pStyle w:val="NormalWeb"/>
        <w:spacing w:before="0" w:beforeAutospacing="0" w:after="0" w:afterAutospacing="0"/>
        <w:jc w:val="center"/>
        <w:rPr>
          <w:b/>
          <w:bCs/>
          <w:sz w:val="20"/>
          <w:szCs w:val="20"/>
        </w:rPr>
      </w:pPr>
      <w:r>
        <w:rPr>
          <w:b/>
          <w:bCs/>
          <w:sz w:val="20"/>
          <w:szCs w:val="20"/>
        </w:rPr>
        <w:t>North Chicago, Illinois 60064-6400</w:t>
      </w:r>
    </w:p>
    <w:p w14:paraId="104E32BF" w14:textId="77777777" w:rsidR="003213F2" w:rsidRDefault="009C165D">
      <w:pPr>
        <w:pStyle w:val="NormalWeb"/>
        <w:spacing w:before="0" w:beforeAutospacing="0" w:after="0" w:afterAutospacing="0"/>
        <w:jc w:val="center"/>
        <w:rPr>
          <w:sz w:val="20"/>
          <w:szCs w:val="20"/>
        </w:rPr>
      </w:pPr>
      <w:r>
        <w:rPr>
          <w:sz w:val="20"/>
          <w:szCs w:val="20"/>
        </w:rPr>
        <w:t xml:space="preserve">(Address of principal executive </w:t>
      </w:r>
      <w:proofErr w:type="gramStart"/>
      <w:r>
        <w:rPr>
          <w:sz w:val="20"/>
          <w:szCs w:val="20"/>
        </w:rPr>
        <w:t>offices)(</w:t>
      </w:r>
      <w:proofErr w:type="gramEnd"/>
      <w:r>
        <w:rPr>
          <w:sz w:val="20"/>
          <w:szCs w:val="20"/>
        </w:rPr>
        <w:t>Zip Code) </w:t>
      </w:r>
    </w:p>
    <w:p w14:paraId="22FD9272" w14:textId="77777777" w:rsidR="003213F2" w:rsidRDefault="009C165D">
      <w:pPr>
        <w:pStyle w:val="NormalWeb"/>
        <w:spacing w:before="0" w:beforeAutospacing="0" w:after="0" w:afterAutospacing="0"/>
        <w:jc w:val="center"/>
        <w:rPr>
          <w:sz w:val="20"/>
          <w:szCs w:val="20"/>
        </w:rPr>
      </w:pPr>
      <w:r>
        <w:rPr>
          <w:sz w:val="20"/>
          <w:szCs w:val="20"/>
        </w:rPr>
        <w:t> </w:t>
      </w:r>
    </w:p>
    <w:p w14:paraId="74E7D6B5" w14:textId="77777777" w:rsidR="003213F2" w:rsidRDefault="009C165D">
      <w:pPr>
        <w:pStyle w:val="NormalWeb"/>
        <w:spacing w:before="0" w:beforeAutospacing="0" w:after="0" w:afterAutospacing="0"/>
        <w:jc w:val="center"/>
        <w:rPr>
          <w:sz w:val="20"/>
          <w:szCs w:val="20"/>
        </w:rPr>
      </w:pPr>
      <w:r>
        <w:rPr>
          <w:sz w:val="20"/>
          <w:szCs w:val="20"/>
        </w:rPr>
        <w:t xml:space="preserve">Registrant’s telephone number, including area code: </w:t>
      </w:r>
      <w:r>
        <w:rPr>
          <w:b/>
          <w:bCs/>
          <w:sz w:val="20"/>
          <w:szCs w:val="20"/>
        </w:rPr>
        <w:t>(847) 932-7900</w:t>
      </w:r>
    </w:p>
    <w:p w14:paraId="7D24DFE7" w14:textId="77777777" w:rsidR="003213F2" w:rsidRDefault="009C165D">
      <w:pPr>
        <w:pStyle w:val="NormalWeb"/>
        <w:spacing w:before="0" w:beforeAutospacing="0" w:after="0" w:afterAutospacing="0"/>
        <w:jc w:val="center"/>
        <w:rPr>
          <w:sz w:val="20"/>
          <w:szCs w:val="20"/>
        </w:rPr>
      </w:pPr>
      <w:r>
        <w:rPr>
          <w:sz w:val="20"/>
          <w:szCs w:val="20"/>
        </w:rPr>
        <w:t> </w:t>
      </w:r>
    </w:p>
    <w:p w14:paraId="0AAE8E64" w14:textId="77777777" w:rsidR="003213F2" w:rsidRDefault="009C165D">
      <w:pPr>
        <w:pStyle w:val="NormalWeb"/>
        <w:spacing w:before="0" w:beforeAutospacing="0" w:after="0" w:afterAutospacing="0"/>
        <w:rPr>
          <w:sz w:val="20"/>
          <w:szCs w:val="20"/>
        </w:rPr>
      </w:pPr>
      <w:r>
        <w:rPr>
          <w:sz w:val="20"/>
          <w:szCs w:val="20"/>
        </w:rPr>
        <w:t>Check the appropriate box below if the Form 8-K filing is intended to simultaneously satisfy the filing obligation of the registrant under any of the following provisions:</w:t>
      </w:r>
    </w:p>
    <w:p w14:paraId="65995457" w14:textId="77777777" w:rsidR="003213F2" w:rsidRDefault="009C165D">
      <w:pPr>
        <w:pStyle w:val="NormalWeb"/>
        <w:spacing w:before="0" w:beforeAutospacing="0" w:after="0" w:afterAutospacing="0"/>
        <w:jc w:val="both"/>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360"/>
        <w:gridCol w:w="9000"/>
      </w:tblGrid>
      <w:tr w:rsidR="003213F2" w14:paraId="41534FF6" w14:textId="77777777">
        <w:trPr>
          <w:tblCellSpacing w:w="0" w:type="dxa"/>
        </w:trPr>
        <w:tc>
          <w:tcPr>
            <w:tcW w:w="360" w:type="dxa"/>
            <w:hideMark/>
          </w:tcPr>
          <w:p w14:paraId="4645686B" w14:textId="77777777" w:rsidR="003213F2" w:rsidRDefault="009C165D">
            <w:pPr>
              <w:rPr>
                <w:rFonts w:eastAsia="Times New Roman"/>
                <w:sz w:val="20"/>
                <w:szCs w:val="20"/>
              </w:rPr>
            </w:pPr>
            <w:r>
              <w:rPr>
                <w:rFonts w:ascii="Wingdings" w:eastAsia="Times New Roman" w:hAnsi="Wingdings"/>
                <w:sz w:val="20"/>
                <w:szCs w:val="20"/>
              </w:rPr>
              <w:t>¨</w:t>
            </w:r>
          </w:p>
        </w:tc>
        <w:tc>
          <w:tcPr>
            <w:tcW w:w="0" w:type="auto"/>
            <w:hideMark/>
          </w:tcPr>
          <w:p w14:paraId="6FC3B067" w14:textId="77777777" w:rsidR="003213F2" w:rsidRDefault="009C165D">
            <w:pPr>
              <w:jc w:val="both"/>
              <w:rPr>
                <w:rFonts w:eastAsia="Times New Roman"/>
                <w:sz w:val="20"/>
                <w:szCs w:val="20"/>
              </w:rPr>
            </w:pPr>
            <w:r>
              <w:rPr>
                <w:rFonts w:eastAsia="Times New Roman"/>
                <w:sz w:val="20"/>
                <w:szCs w:val="20"/>
              </w:rPr>
              <w:t>Written communications pursuant to Rule 425 under the Securities Act (17 CFR 230.425)</w:t>
            </w:r>
          </w:p>
        </w:tc>
      </w:tr>
      <w:tr w:rsidR="003213F2" w14:paraId="2ECEAB1C" w14:textId="77777777">
        <w:trPr>
          <w:tblCellSpacing w:w="0" w:type="dxa"/>
        </w:trPr>
        <w:tc>
          <w:tcPr>
            <w:tcW w:w="360" w:type="dxa"/>
            <w:hideMark/>
          </w:tcPr>
          <w:p w14:paraId="342F639D" w14:textId="77777777" w:rsidR="003213F2" w:rsidRDefault="009C165D">
            <w:pPr>
              <w:rPr>
                <w:rFonts w:eastAsia="Times New Roman"/>
                <w:sz w:val="20"/>
                <w:szCs w:val="20"/>
              </w:rPr>
            </w:pPr>
            <w:r>
              <w:rPr>
                <w:rFonts w:ascii="Wingdings" w:eastAsia="Times New Roman" w:hAnsi="Wingdings"/>
                <w:sz w:val="20"/>
                <w:szCs w:val="20"/>
              </w:rPr>
              <w:t>¨</w:t>
            </w:r>
          </w:p>
        </w:tc>
        <w:tc>
          <w:tcPr>
            <w:tcW w:w="0" w:type="auto"/>
            <w:hideMark/>
          </w:tcPr>
          <w:p w14:paraId="190D504F" w14:textId="77777777" w:rsidR="003213F2" w:rsidRDefault="009C165D">
            <w:pPr>
              <w:jc w:val="both"/>
              <w:rPr>
                <w:rFonts w:eastAsia="Times New Roman"/>
                <w:sz w:val="20"/>
                <w:szCs w:val="20"/>
              </w:rPr>
            </w:pPr>
            <w:r>
              <w:rPr>
                <w:rFonts w:eastAsia="Times New Roman"/>
                <w:sz w:val="20"/>
                <w:szCs w:val="20"/>
              </w:rPr>
              <w:t>Soliciting material pursuant to Rule 14a-12 under the Exchange Act (17 CFR 240.14a-12)</w:t>
            </w:r>
          </w:p>
        </w:tc>
      </w:tr>
      <w:tr w:rsidR="003213F2" w14:paraId="411F344E" w14:textId="77777777">
        <w:trPr>
          <w:tblCellSpacing w:w="0" w:type="dxa"/>
        </w:trPr>
        <w:tc>
          <w:tcPr>
            <w:tcW w:w="360" w:type="dxa"/>
            <w:hideMark/>
          </w:tcPr>
          <w:p w14:paraId="498724CB" w14:textId="77777777" w:rsidR="003213F2" w:rsidRDefault="009C165D">
            <w:pPr>
              <w:rPr>
                <w:rFonts w:eastAsia="Times New Roman"/>
                <w:sz w:val="20"/>
                <w:szCs w:val="20"/>
              </w:rPr>
            </w:pPr>
            <w:r>
              <w:rPr>
                <w:rFonts w:ascii="Wingdings" w:eastAsia="Times New Roman" w:hAnsi="Wingdings"/>
                <w:sz w:val="20"/>
                <w:szCs w:val="20"/>
              </w:rPr>
              <w:t>¨</w:t>
            </w:r>
          </w:p>
        </w:tc>
        <w:tc>
          <w:tcPr>
            <w:tcW w:w="0" w:type="auto"/>
            <w:hideMark/>
          </w:tcPr>
          <w:p w14:paraId="609B4E7E" w14:textId="77777777" w:rsidR="003213F2" w:rsidRDefault="009C165D">
            <w:pPr>
              <w:jc w:val="both"/>
              <w:rPr>
                <w:rFonts w:eastAsia="Times New Roman"/>
                <w:sz w:val="20"/>
                <w:szCs w:val="20"/>
              </w:rPr>
            </w:pPr>
            <w:r>
              <w:rPr>
                <w:rFonts w:eastAsia="Times New Roman"/>
                <w:sz w:val="20"/>
                <w:szCs w:val="20"/>
              </w:rPr>
              <w:t>Pre-commencement communications pursuant to Rule 14d-2(b) under the Exchange Act (17 CFR 240.14d-2(b))</w:t>
            </w:r>
          </w:p>
        </w:tc>
      </w:tr>
      <w:tr w:rsidR="003213F2" w14:paraId="38F7498C" w14:textId="77777777">
        <w:trPr>
          <w:tblCellSpacing w:w="0" w:type="dxa"/>
        </w:trPr>
        <w:tc>
          <w:tcPr>
            <w:tcW w:w="360" w:type="dxa"/>
            <w:hideMark/>
          </w:tcPr>
          <w:p w14:paraId="652669D4" w14:textId="77777777" w:rsidR="003213F2" w:rsidRDefault="009C165D">
            <w:pPr>
              <w:rPr>
                <w:rFonts w:eastAsia="Times New Roman"/>
                <w:sz w:val="20"/>
                <w:szCs w:val="20"/>
              </w:rPr>
            </w:pPr>
            <w:r>
              <w:rPr>
                <w:rFonts w:ascii="Wingdings" w:eastAsia="Times New Roman" w:hAnsi="Wingdings"/>
                <w:sz w:val="20"/>
                <w:szCs w:val="20"/>
              </w:rPr>
              <w:t>¨</w:t>
            </w:r>
          </w:p>
        </w:tc>
        <w:tc>
          <w:tcPr>
            <w:tcW w:w="0" w:type="auto"/>
            <w:hideMark/>
          </w:tcPr>
          <w:p w14:paraId="0DB6CD86" w14:textId="77777777" w:rsidR="003213F2" w:rsidRDefault="009C165D">
            <w:pPr>
              <w:jc w:val="both"/>
              <w:rPr>
                <w:rFonts w:eastAsia="Times New Roman"/>
                <w:sz w:val="20"/>
                <w:szCs w:val="20"/>
              </w:rPr>
            </w:pPr>
            <w:r>
              <w:rPr>
                <w:rFonts w:eastAsia="Times New Roman"/>
                <w:sz w:val="20"/>
                <w:szCs w:val="20"/>
              </w:rPr>
              <w:t>Pre-commencement communications pursuant to Rule 13e-4(c) under the Exchange Act (17 CFR 240.13e-4(c))</w:t>
            </w:r>
          </w:p>
        </w:tc>
      </w:tr>
    </w:tbl>
    <w:p w14:paraId="01CD5EB9" w14:textId="77777777" w:rsidR="003213F2" w:rsidRDefault="009C165D">
      <w:pPr>
        <w:pStyle w:val="NormalWeb"/>
        <w:spacing w:before="0" w:beforeAutospacing="0" w:after="0" w:afterAutospacing="0"/>
        <w:rPr>
          <w:sz w:val="20"/>
          <w:szCs w:val="20"/>
        </w:rPr>
      </w:pPr>
      <w:r>
        <w:rPr>
          <w:sz w:val="20"/>
          <w:szCs w:val="20"/>
        </w:rPr>
        <w:t> </w:t>
      </w:r>
    </w:p>
    <w:p w14:paraId="3EB79109" w14:textId="77777777" w:rsidR="003213F2" w:rsidRDefault="009C165D">
      <w:pPr>
        <w:pStyle w:val="NormalWeb"/>
        <w:spacing w:before="0" w:beforeAutospacing="0" w:after="0" w:afterAutospacing="0"/>
        <w:jc w:val="center"/>
        <w:rPr>
          <w:sz w:val="20"/>
          <w:szCs w:val="20"/>
        </w:rPr>
      </w:pPr>
      <w:r>
        <w:rPr>
          <w:sz w:val="20"/>
          <w:szCs w:val="20"/>
        </w:rPr>
        <w:t>Securities registered pursuant to Section 12(b) of the Act:</w:t>
      </w:r>
    </w:p>
    <w:p w14:paraId="2343D818" w14:textId="77777777" w:rsidR="003213F2" w:rsidRDefault="009C165D">
      <w:pPr>
        <w:pStyle w:val="NormalWeb"/>
        <w:spacing w:before="0" w:beforeAutospacing="0" w:after="0" w:afterAutospacing="0"/>
        <w:jc w:val="center"/>
        <w:rPr>
          <w:sz w:val="20"/>
          <w:szCs w:val="20"/>
        </w:rPr>
      </w:pPr>
      <w:r>
        <w:rPr>
          <w:b/>
          <w:bCs/>
          <w:sz w:val="20"/>
          <w:szCs w:val="20"/>
        </w:rPr>
        <w:t> </w:t>
      </w:r>
    </w:p>
    <w:tbl>
      <w:tblPr>
        <w:tblW w:w="5000" w:type="pct"/>
        <w:tblCellMar>
          <w:left w:w="0" w:type="dxa"/>
          <w:right w:w="0" w:type="dxa"/>
        </w:tblCellMar>
        <w:tblLook w:val="04A0" w:firstRow="1" w:lastRow="0" w:firstColumn="1" w:lastColumn="0" w:noHBand="0" w:noVBand="1"/>
      </w:tblPr>
      <w:tblGrid>
        <w:gridCol w:w="2996"/>
        <w:gridCol w:w="187"/>
        <w:gridCol w:w="2995"/>
        <w:gridCol w:w="187"/>
        <w:gridCol w:w="2995"/>
      </w:tblGrid>
      <w:tr w:rsidR="003213F2" w14:paraId="6658E6EE" w14:textId="77777777">
        <w:tc>
          <w:tcPr>
            <w:tcW w:w="1600" w:type="pct"/>
            <w:tcBorders>
              <w:bottom w:val="single" w:sz="8" w:space="0" w:color="000000"/>
            </w:tcBorders>
            <w:tcMar>
              <w:top w:w="0" w:type="dxa"/>
              <w:left w:w="108" w:type="dxa"/>
              <w:bottom w:w="0" w:type="dxa"/>
              <w:right w:w="0" w:type="dxa"/>
            </w:tcMar>
            <w:vAlign w:val="bottom"/>
            <w:hideMark/>
          </w:tcPr>
          <w:p w14:paraId="7CC5E8AE" w14:textId="77777777" w:rsidR="003213F2" w:rsidRDefault="009C165D">
            <w:pPr>
              <w:jc w:val="center"/>
              <w:rPr>
                <w:rFonts w:eastAsia="Times New Roman"/>
                <w:b/>
                <w:bCs/>
                <w:sz w:val="20"/>
                <w:szCs w:val="20"/>
              </w:rPr>
            </w:pPr>
            <w:r>
              <w:rPr>
                <w:rFonts w:eastAsia="Times New Roman"/>
                <w:b/>
                <w:bCs/>
                <w:sz w:val="18"/>
                <w:szCs w:val="18"/>
              </w:rPr>
              <w:t>Title of each class</w:t>
            </w:r>
          </w:p>
        </w:tc>
        <w:tc>
          <w:tcPr>
            <w:tcW w:w="100" w:type="pct"/>
            <w:hideMark/>
          </w:tcPr>
          <w:p w14:paraId="4F7C64DB" w14:textId="77777777" w:rsidR="003213F2" w:rsidRDefault="009C165D">
            <w:pPr>
              <w:jc w:val="center"/>
              <w:rPr>
                <w:rFonts w:eastAsia="Times New Roman"/>
                <w:b/>
                <w:bCs/>
                <w:sz w:val="20"/>
                <w:szCs w:val="20"/>
              </w:rPr>
            </w:pPr>
            <w:r>
              <w:rPr>
                <w:rFonts w:eastAsia="Times New Roman"/>
                <w:b/>
                <w:bCs/>
                <w:sz w:val="18"/>
                <w:szCs w:val="18"/>
              </w:rPr>
              <w:t> </w:t>
            </w:r>
          </w:p>
        </w:tc>
        <w:tc>
          <w:tcPr>
            <w:tcW w:w="1600" w:type="pct"/>
            <w:tcBorders>
              <w:bottom w:val="single" w:sz="8" w:space="0" w:color="000000"/>
            </w:tcBorders>
            <w:tcMar>
              <w:top w:w="0" w:type="dxa"/>
              <w:left w:w="108" w:type="dxa"/>
              <w:bottom w:w="0" w:type="dxa"/>
              <w:right w:w="0" w:type="dxa"/>
            </w:tcMar>
            <w:vAlign w:val="bottom"/>
            <w:hideMark/>
          </w:tcPr>
          <w:p w14:paraId="7235F2F5" w14:textId="77777777" w:rsidR="003213F2" w:rsidRDefault="009C165D">
            <w:pPr>
              <w:jc w:val="center"/>
              <w:rPr>
                <w:rFonts w:eastAsia="Times New Roman"/>
                <w:b/>
                <w:bCs/>
                <w:sz w:val="20"/>
                <w:szCs w:val="20"/>
              </w:rPr>
            </w:pPr>
            <w:r>
              <w:rPr>
                <w:rFonts w:eastAsia="Times New Roman"/>
                <w:b/>
                <w:bCs/>
                <w:sz w:val="18"/>
                <w:szCs w:val="18"/>
              </w:rPr>
              <w:t>Trading Symbol(s)</w:t>
            </w:r>
          </w:p>
        </w:tc>
        <w:tc>
          <w:tcPr>
            <w:tcW w:w="100" w:type="pct"/>
            <w:hideMark/>
          </w:tcPr>
          <w:p w14:paraId="1AB69332" w14:textId="77777777" w:rsidR="003213F2" w:rsidRDefault="009C165D">
            <w:pPr>
              <w:jc w:val="center"/>
              <w:rPr>
                <w:rFonts w:eastAsia="Times New Roman"/>
                <w:b/>
                <w:bCs/>
                <w:sz w:val="20"/>
                <w:szCs w:val="20"/>
              </w:rPr>
            </w:pPr>
            <w:r>
              <w:rPr>
                <w:rFonts w:eastAsia="Times New Roman"/>
                <w:b/>
                <w:bCs/>
                <w:sz w:val="18"/>
                <w:szCs w:val="18"/>
              </w:rPr>
              <w:t> </w:t>
            </w:r>
          </w:p>
        </w:tc>
        <w:tc>
          <w:tcPr>
            <w:tcW w:w="1600" w:type="pct"/>
            <w:tcBorders>
              <w:bottom w:val="single" w:sz="8" w:space="0" w:color="000000"/>
            </w:tcBorders>
            <w:vAlign w:val="bottom"/>
            <w:hideMark/>
          </w:tcPr>
          <w:p w14:paraId="6939B81C" w14:textId="77777777" w:rsidR="003213F2" w:rsidRDefault="009C165D">
            <w:pPr>
              <w:jc w:val="center"/>
              <w:rPr>
                <w:rFonts w:eastAsia="Times New Roman"/>
                <w:b/>
                <w:bCs/>
                <w:sz w:val="20"/>
                <w:szCs w:val="20"/>
              </w:rPr>
            </w:pPr>
            <w:r>
              <w:rPr>
                <w:rFonts w:eastAsia="Times New Roman"/>
                <w:b/>
                <w:bCs/>
                <w:sz w:val="18"/>
                <w:szCs w:val="18"/>
              </w:rPr>
              <w:t>Name of each exchange on which registered</w:t>
            </w:r>
          </w:p>
        </w:tc>
      </w:tr>
      <w:tr w:rsidR="003213F2" w14:paraId="7D7C028F" w14:textId="77777777">
        <w:tc>
          <w:tcPr>
            <w:tcW w:w="0" w:type="auto"/>
            <w:tcMar>
              <w:top w:w="0" w:type="dxa"/>
              <w:left w:w="108" w:type="dxa"/>
              <w:bottom w:w="0" w:type="dxa"/>
              <w:right w:w="0" w:type="dxa"/>
            </w:tcMar>
            <w:hideMark/>
          </w:tcPr>
          <w:p w14:paraId="7BA033B7" w14:textId="77777777" w:rsidR="003213F2" w:rsidRDefault="009C165D">
            <w:pPr>
              <w:jc w:val="center"/>
              <w:rPr>
                <w:rFonts w:eastAsia="Times New Roman"/>
                <w:sz w:val="20"/>
                <w:szCs w:val="20"/>
              </w:rPr>
            </w:pPr>
            <w:r>
              <w:rPr>
                <w:rFonts w:eastAsia="Times New Roman"/>
                <w:sz w:val="18"/>
                <w:szCs w:val="18"/>
              </w:rPr>
              <w:t>Common Stock, $0.01 Par Value</w:t>
            </w:r>
          </w:p>
        </w:tc>
        <w:tc>
          <w:tcPr>
            <w:tcW w:w="0" w:type="auto"/>
            <w:hideMark/>
          </w:tcPr>
          <w:p w14:paraId="4BECEBF7" w14:textId="77777777" w:rsidR="003213F2" w:rsidRDefault="009C165D">
            <w:pPr>
              <w:jc w:val="center"/>
              <w:rPr>
                <w:rFonts w:eastAsia="Times New Roman"/>
                <w:sz w:val="20"/>
                <w:szCs w:val="20"/>
              </w:rPr>
            </w:pPr>
            <w:r>
              <w:rPr>
                <w:rFonts w:eastAsia="Times New Roman"/>
                <w:sz w:val="18"/>
                <w:szCs w:val="18"/>
              </w:rPr>
              <w:t> </w:t>
            </w:r>
          </w:p>
        </w:tc>
        <w:tc>
          <w:tcPr>
            <w:tcW w:w="0" w:type="auto"/>
            <w:tcMar>
              <w:top w:w="0" w:type="dxa"/>
              <w:left w:w="108" w:type="dxa"/>
              <w:bottom w:w="0" w:type="dxa"/>
              <w:right w:w="0" w:type="dxa"/>
            </w:tcMar>
            <w:hideMark/>
          </w:tcPr>
          <w:p w14:paraId="5B253F91" w14:textId="77777777" w:rsidR="003213F2" w:rsidRDefault="009C165D">
            <w:pPr>
              <w:jc w:val="center"/>
              <w:rPr>
                <w:rFonts w:eastAsia="Times New Roman"/>
                <w:sz w:val="20"/>
                <w:szCs w:val="20"/>
              </w:rPr>
            </w:pPr>
            <w:r>
              <w:rPr>
                <w:rFonts w:eastAsia="Times New Roman"/>
                <w:sz w:val="18"/>
                <w:szCs w:val="18"/>
              </w:rPr>
              <w:t>ABBV</w:t>
            </w:r>
          </w:p>
        </w:tc>
        <w:tc>
          <w:tcPr>
            <w:tcW w:w="0" w:type="auto"/>
            <w:hideMark/>
          </w:tcPr>
          <w:p w14:paraId="3F04798A" w14:textId="77777777" w:rsidR="003213F2" w:rsidRDefault="009C165D">
            <w:pPr>
              <w:jc w:val="center"/>
              <w:rPr>
                <w:rFonts w:eastAsia="Times New Roman"/>
                <w:sz w:val="20"/>
                <w:szCs w:val="20"/>
              </w:rPr>
            </w:pPr>
            <w:r>
              <w:rPr>
                <w:rFonts w:eastAsia="Times New Roman"/>
                <w:sz w:val="18"/>
                <w:szCs w:val="18"/>
              </w:rPr>
              <w:t> </w:t>
            </w:r>
          </w:p>
        </w:tc>
        <w:tc>
          <w:tcPr>
            <w:tcW w:w="0" w:type="auto"/>
            <w:hideMark/>
          </w:tcPr>
          <w:p w14:paraId="29B77123" w14:textId="77777777" w:rsidR="003213F2" w:rsidRDefault="009C165D">
            <w:pPr>
              <w:jc w:val="center"/>
              <w:rPr>
                <w:rFonts w:eastAsia="Times New Roman"/>
                <w:sz w:val="20"/>
                <w:szCs w:val="20"/>
              </w:rPr>
            </w:pPr>
            <w:r>
              <w:rPr>
                <w:rFonts w:eastAsia="Times New Roman"/>
                <w:sz w:val="18"/>
                <w:szCs w:val="18"/>
              </w:rPr>
              <w:t>New York Stock Exchange</w:t>
            </w:r>
          </w:p>
        </w:tc>
      </w:tr>
      <w:tr w:rsidR="003213F2" w14:paraId="76026259" w14:textId="77777777">
        <w:tc>
          <w:tcPr>
            <w:tcW w:w="0" w:type="auto"/>
            <w:tcMar>
              <w:top w:w="0" w:type="dxa"/>
              <w:left w:w="108" w:type="dxa"/>
              <w:bottom w:w="0" w:type="dxa"/>
              <w:right w:w="0" w:type="dxa"/>
            </w:tcMar>
            <w:hideMark/>
          </w:tcPr>
          <w:p w14:paraId="197B26A8" w14:textId="77777777" w:rsidR="003213F2" w:rsidRDefault="009C165D">
            <w:pPr>
              <w:jc w:val="center"/>
              <w:rPr>
                <w:rFonts w:eastAsia="Times New Roman"/>
                <w:sz w:val="20"/>
                <w:szCs w:val="20"/>
              </w:rPr>
            </w:pPr>
            <w:r>
              <w:rPr>
                <w:rFonts w:eastAsia="Times New Roman"/>
                <w:sz w:val="20"/>
                <w:szCs w:val="20"/>
              </w:rPr>
              <w:t> </w:t>
            </w:r>
          </w:p>
        </w:tc>
        <w:tc>
          <w:tcPr>
            <w:tcW w:w="0" w:type="auto"/>
            <w:hideMark/>
          </w:tcPr>
          <w:p w14:paraId="2486B481" w14:textId="77777777" w:rsidR="003213F2" w:rsidRDefault="009C165D">
            <w:pPr>
              <w:jc w:val="center"/>
              <w:rPr>
                <w:rFonts w:eastAsia="Times New Roman"/>
                <w:sz w:val="20"/>
                <w:szCs w:val="20"/>
              </w:rPr>
            </w:pPr>
            <w:r>
              <w:rPr>
                <w:rFonts w:eastAsia="Times New Roman"/>
                <w:sz w:val="20"/>
                <w:szCs w:val="20"/>
              </w:rPr>
              <w:t> </w:t>
            </w:r>
          </w:p>
        </w:tc>
        <w:tc>
          <w:tcPr>
            <w:tcW w:w="0" w:type="auto"/>
            <w:tcMar>
              <w:top w:w="0" w:type="dxa"/>
              <w:left w:w="108" w:type="dxa"/>
              <w:bottom w:w="0" w:type="dxa"/>
              <w:right w:w="0" w:type="dxa"/>
            </w:tcMar>
            <w:hideMark/>
          </w:tcPr>
          <w:p w14:paraId="5EC7788D" w14:textId="77777777" w:rsidR="003213F2" w:rsidRDefault="009C165D">
            <w:pPr>
              <w:jc w:val="center"/>
              <w:rPr>
                <w:rFonts w:eastAsia="Times New Roman"/>
                <w:sz w:val="20"/>
                <w:szCs w:val="20"/>
              </w:rPr>
            </w:pPr>
            <w:r>
              <w:rPr>
                <w:rFonts w:eastAsia="Times New Roman"/>
                <w:sz w:val="20"/>
                <w:szCs w:val="20"/>
              </w:rPr>
              <w:t> </w:t>
            </w:r>
          </w:p>
        </w:tc>
        <w:tc>
          <w:tcPr>
            <w:tcW w:w="0" w:type="auto"/>
            <w:hideMark/>
          </w:tcPr>
          <w:p w14:paraId="2568A233" w14:textId="77777777" w:rsidR="003213F2" w:rsidRDefault="009C165D">
            <w:pPr>
              <w:jc w:val="center"/>
              <w:rPr>
                <w:rFonts w:eastAsia="Times New Roman"/>
                <w:sz w:val="20"/>
                <w:szCs w:val="20"/>
              </w:rPr>
            </w:pPr>
            <w:r>
              <w:rPr>
                <w:rFonts w:eastAsia="Times New Roman"/>
                <w:sz w:val="20"/>
                <w:szCs w:val="20"/>
              </w:rPr>
              <w:t> </w:t>
            </w:r>
          </w:p>
        </w:tc>
        <w:tc>
          <w:tcPr>
            <w:tcW w:w="0" w:type="auto"/>
            <w:hideMark/>
          </w:tcPr>
          <w:p w14:paraId="3A23445C" w14:textId="77777777" w:rsidR="003213F2" w:rsidRDefault="009C165D">
            <w:pPr>
              <w:jc w:val="center"/>
              <w:rPr>
                <w:rFonts w:eastAsia="Times New Roman"/>
                <w:sz w:val="20"/>
                <w:szCs w:val="20"/>
              </w:rPr>
            </w:pPr>
            <w:r>
              <w:rPr>
                <w:rFonts w:eastAsia="Times New Roman"/>
                <w:sz w:val="20"/>
                <w:szCs w:val="20"/>
              </w:rPr>
              <w:t>NYSE Texas</w:t>
            </w:r>
          </w:p>
        </w:tc>
      </w:tr>
      <w:tr w:rsidR="003213F2" w14:paraId="0806A356" w14:textId="77777777">
        <w:tc>
          <w:tcPr>
            <w:tcW w:w="0" w:type="auto"/>
            <w:tcMar>
              <w:top w:w="0" w:type="dxa"/>
              <w:left w:w="108" w:type="dxa"/>
              <w:bottom w:w="0" w:type="dxa"/>
              <w:right w:w="108" w:type="dxa"/>
            </w:tcMar>
            <w:hideMark/>
          </w:tcPr>
          <w:p w14:paraId="5483E3DF" w14:textId="77777777" w:rsidR="003213F2" w:rsidRDefault="009C165D">
            <w:pPr>
              <w:jc w:val="center"/>
              <w:rPr>
                <w:rFonts w:eastAsia="Times New Roman"/>
                <w:sz w:val="20"/>
                <w:szCs w:val="20"/>
              </w:rPr>
            </w:pPr>
            <w:r>
              <w:rPr>
                <w:rFonts w:eastAsia="Times New Roman"/>
                <w:sz w:val="18"/>
                <w:szCs w:val="18"/>
              </w:rPr>
              <w:t>0.750% Senior Notes due 2027</w:t>
            </w:r>
          </w:p>
        </w:tc>
        <w:tc>
          <w:tcPr>
            <w:tcW w:w="0" w:type="auto"/>
            <w:hideMark/>
          </w:tcPr>
          <w:p w14:paraId="62C9BF72" w14:textId="77777777" w:rsidR="003213F2" w:rsidRDefault="009C165D">
            <w:pPr>
              <w:rPr>
                <w:rFonts w:eastAsia="Times New Roman"/>
                <w:sz w:val="20"/>
                <w:szCs w:val="20"/>
              </w:rPr>
            </w:pPr>
            <w:r>
              <w:rPr>
                <w:rFonts w:eastAsia="Times New Roman"/>
                <w:sz w:val="18"/>
                <w:szCs w:val="18"/>
              </w:rPr>
              <w:t> </w:t>
            </w:r>
          </w:p>
        </w:tc>
        <w:tc>
          <w:tcPr>
            <w:tcW w:w="0" w:type="auto"/>
            <w:tcMar>
              <w:top w:w="0" w:type="dxa"/>
              <w:left w:w="108" w:type="dxa"/>
              <w:bottom w:w="0" w:type="dxa"/>
              <w:right w:w="108" w:type="dxa"/>
            </w:tcMar>
            <w:hideMark/>
          </w:tcPr>
          <w:p w14:paraId="70C265A8" w14:textId="77777777" w:rsidR="003213F2" w:rsidRDefault="009C165D">
            <w:pPr>
              <w:jc w:val="center"/>
              <w:rPr>
                <w:rFonts w:eastAsia="Times New Roman"/>
                <w:sz w:val="20"/>
                <w:szCs w:val="20"/>
              </w:rPr>
            </w:pPr>
            <w:r>
              <w:rPr>
                <w:rFonts w:eastAsia="Times New Roman"/>
                <w:sz w:val="18"/>
                <w:szCs w:val="18"/>
              </w:rPr>
              <w:t>ABBV27</w:t>
            </w:r>
          </w:p>
        </w:tc>
        <w:tc>
          <w:tcPr>
            <w:tcW w:w="0" w:type="auto"/>
            <w:hideMark/>
          </w:tcPr>
          <w:p w14:paraId="6CC2D7CA" w14:textId="77777777" w:rsidR="003213F2" w:rsidRDefault="009C165D">
            <w:pPr>
              <w:rPr>
                <w:rFonts w:eastAsia="Times New Roman"/>
                <w:sz w:val="20"/>
                <w:szCs w:val="20"/>
              </w:rPr>
            </w:pPr>
            <w:r>
              <w:rPr>
                <w:rFonts w:eastAsia="Times New Roman"/>
                <w:sz w:val="18"/>
                <w:szCs w:val="18"/>
              </w:rPr>
              <w:t> </w:t>
            </w:r>
          </w:p>
        </w:tc>
        <w:tc>
          <w:tcPr>
            <w:tcW w:w="0" w:type="auto"/>
            <w:hideMark/>
          </w:tcPr>
          <w:p w14:paraId="09DD40AB" w14:textId="77777777" w:rsidR="003213F2" w:rsidRDefault="009C165D">
            <w:pPr>
              <w:jc w:val="center"/>
              <w:rPr>
                <w:rFonts w:eastAsia="Times New Roman"/>
                <w:sz w:val="20"/>
                <w:szCs w:val="20"/>
              </w:rPr>
            </w:pPr>
            <w:r>
              <w:rPr>
                <w:rFonts w:eastAsia="Times New Roman"/>
                <w:sz w:val="18"/>
                <w:szCs w:val="18"/>
              </w:rPr>
              <w:t>New York Stock Exchange</w:t>
            </w:r>
          </w:p>
        </w:tc>
      </w:tr>
      <w:tr w:rsidR="003213F2" w14:paraId="1C575F0F" w14:textId="77777777">
        <w:tc>
          <w:tcPr>
            <w:tcW w:w="0" w:type="auto"/>
            <w:tcMar>
              <w:top w:w="0" w:type="dxa"/>
              <w:left w:w="108" w:type="dxa"/>
              <w:bottom w:w="0" w:type="dxa"/>
              <w:right w:w="108" w:type="dxa"/>
            </w:tcMar>
            <w:hideMark/>
          </w:tcPr>
          <w:p w14:paraId="01B4CB19" w14:textId="77777777" w:rsidR="003213F2" w:rsidRDefault="009C165D">
            <w:pPr>
              <w:jc w:val="center"/>
              <w:rPr>
                <w:rFonts w:eastAsia="Times New Roman"/>
                <w:sz w:val="20"/>
                <w:szCs w:val="20"/>
              </w:rPr>
            </w:pPr>
            <w:r>
              <w:rPr>
                <w:rFonts w:eastAsia="Times New Roman"/>
                <w:sz w:val="18"/>
                <w:szCs w:val="18"/>
              </w:rPr>
              <w:t>2.125% Senior Notes due 2028</w:t>
            </w:r>
          </w:p>
        </w:tc>
        <w:tc>
          <w:tcPr>
            <w:tcW w:w="0" w:type="auto"/>
            <w:hideMark/>
          </w:tcPr>
          <w:p w14:paraId="0FE0420C" w14:textId="77777777" w:rsidR="003213F2" w:rsidRDefault="009C165D">
            <w:pPr>
              <w:rPr>
                <w:rFonts w:eastAsia="Times New Roman"/>
                <w:sz w:val="20"/>
                <w:szCs w:val="20"/>
              </w:rPr>
            </w:pPr>
            <w:r>
              <w:rPr>
                <w:rFonts w:eastAsia="Times New Roman"/>
                <w:sz w:val="18"/>
                <w:szCs w:val="18"/>
              </w:rPr>
              <w:t> </w:t>
            </w:r>
          </w:p>
        </w:tc>
        <w:tc>
          <w:tcPr>
            <w:tcW w:w="0" w:type="auto"/>
            <w:tcMar>
              <w:top w:w="0" w:type="dxa"/>
              <w:left w:w="108" w:type="dxa"/>
              <w:bottom w:w="0" w:type="dxa"/>
              <w:right w:w="108" w:type="dxa"/>
            </w:tcMar>
            <w:hideMark/>
          </w:tcPr>
          <w:p w14:paraId="2952702C" w14:textId="77777777" w:rsidR="003213F2" w:rsidRDefault="009C165D">
            <w:pPr>
              <w:jc w:val="center"/>
              <w:rPr>
                <w:rFonts w:eastAsia="Times New Roman"/>
                <w:sz w:val="20"/>
                <w:szCs w:val="20"/>
              </w:rPr>
            </w:pPr>
            <w:r>
              <w:rPr>
                <w:rFonts w:eastAsia="Times New Roman"/>
                <w:sz w:val="18"/>
                <w:szCs w:val="18"/>
              </w:rPr>
              <w:t>ABBV28</w:t>
            </w:r>
          </w:p>
        </w:tc>
        <w:tc>
          <w:tcPr>
            <w:tcW w:w="0" w:type="auto"/>
            <w:hideMark/>
          </w:tcPr>
          <w:p w14:paraId="5AA62019" w14:textId="77777777" w:rsidR="003213F2" w:rsidRDefault="009C165D">
            <w:pPr>
              <w:rPr>
                <w:rFonts w:eastAsia="Times New Roman"/>
                <w:sz w:val="20"/>
                <w:szCs w:val="20"/>
              </w:rPr>
            </w:pPr>
            <w:r>
              <w:rPr>
                <w:rFonts w:eastAsia="Times New Roman"/>
                <w:sz w:val="18"/>
                <w:szCs w:val="18"/>
              </w:rPr>
              <w:t> </w:t>
            </w:r>
          </w:p>
        </w:tc>
        <w:tc>
          <w:tcPr>
            <w:tcW w:w="0" w:type="auto"/>
            <w:hideMark/>
          </w:tcPr>
          <w:p w14:paraId="322A504D" w14:textId="77777777" w:rsidR="003213F2" w:rsidRDefault="009C165D">
            <w:pPr>
              <w:jc w:val="center"/>
              <w:rPr>
                <w:rFonts w:eastAsia="Times New Roman"/>
                <w:sz w:val="20"/>
                <w:szCs w:val="20"/>
              </w:rPr>
            </w:pPr>
            <w:r>
              <w:rPr>
                <w:rFonts w:eastAsia="Times New Roman"/>
                <w:sz w:val="18"/>
                <w:szCs w:val="18"/>
              </w:rPr>
              <w:t>New York Stock Exchange</w:t>
            </w:r>
          </w:p>
        </w:tc>
      </w:tr>
      <w:tr w:rsidR="003213F2" w14:paraId="3C126CC6" w14:textId="77777777">
        <w:tc>
          <w:tcPr>
            <w:tcW w:w="0" w:type="auto"/>
            <w:tcMar>
              <w:top w:w="0" w:type="dxa"/>
              <w:left w:w="108" w:type="dxa"/>
              <w:bottom w:w="0" w:type="dxa"/>
              <w:right w:w="108" w:type="dxa"/>
            </w:tcMar>
            <w:hideMark/>
          </w:tcPr>
          <w:p w14:paraId="5EE6880E" w14:textId="77777777" w:rsidR="003213F2" w:rsidRDefault="009C165D">
            <w:pPr>
              <w:jc w:val="center"/>
              <w:rPr>
                <w:rFonts w:eastAsia="Times New Roman"/>
                <w:sz w:val="20"/>
                <w:szCs w:val="20"/>
              </w:rPr>
            </w:pPr>
            <w:r>
              <w:rPr>
                <w:rFonts w:eastAsia="Times New Roman"/>
                <w:sz w:val="18"/>
                <w:szCs w:val="18"/>
              </w:rPr>
              <w:t>2.625% Senior Notes due 2028</w:t>
            </w:r>
          </w:p>
        </w:tc>
        <w:tc>
          <w:tcPr>
            <w:tcW w:w="0" w:type="auto"/>
            <w:hideMark/>
          </w:tcPr>
          <w:p w14:paraId="4CFE7779" w14:textId="77777777" w:rsidR="003213F2" w:rsidRDefault="009C165D">
            <w:pPr>
              <w:rPr>
                <w:rFonts w:eastAsia="Times New Roman"/>
                <w:sz w:val="20"/>
                <w:szCs w:val="20"/>
              </w:rPr>
            </w:pPr>
            <w:r>
              <w:rPr>
                <w:rFonts w:eastAsia="Times New Roman"/>
                <w:sz w:val="18"/>
                <w:szCs w:val="18"/>
              </w:rPr>
              <w:t> </w:t>
            </w:r>
          </w:p>
        </w:tc>
        <w:tc>
          <w:tcPr>
            <w:tcW w:w="0" w:type="auto"/>
            <w:tcMar>
              <w:top w:w="0" w:type="dxa"/>
              <w:left w:w="108" w:type="dxa"/>
              <w:bottom w:w="0" w:type="dxa"/>
              <w:right w:w="108" w:type="dxa"/>
            </w:tcMar>
            <w:hideMark/>
          </w:tcPr>
          <w:p w14:paraId="593A367F" w14:textId="77777777" w:rsidR="003213F2" w:rsidRDefault="009C165D">
            <w:pPr>
              <w:jc w:val="center"/>
              <w:rPr>
                <w:rFonts w:eastAsia="Times New Roman"/>
                <w:sz w:val="20"/>
                <w:szCs w:val="20"/>
              </w:rPr>
            </w:pPr>
            <w:r>
              <w:rPr>
                <w:rFonts w:eastAsia="Times New Roman"/>
                <w:sz w:val="18"/>
                <w:szCs w:val="18"/>
              </w:rPr>
              <w:t>ABBV28B</w:t>
            </w:r>
          </w:p>
        </w:tc>
        <w:tc>
          <w:tcPr>
            <w:tcW w:w="0" w:type="auto"/>
            <w:hideMark/>
          </w:tcPr>
          <w:p w14:paraId="2949824D" w14:textId="77777777" w:rsidR="003213F2" w:rsidRDefault="009C165D">
            <w:pPr>
              <w:rPr>
                <w:rFonts w:eastAsia="Times New Roman"/>
                <w:sz w:val="20"/>
                <w:szCs w:val="20"/>
              </w:rPr>
            </w:pPr>
            <w:r>
              <w:rPr>
                <w:rFonts w:eastAsia="Times New Roman"/>
                <w:sz w:val="18"/>
                <w:szCs w:val="18"/>
              </w:rPr>
              <w:t> </w:t>
            </w:r>
          </w:p>
        </w:tc>
        <w:tc>
          <w:tcPr>
            <w:tcW w:w="0" w:type="auto"/>
            <w:hideMark/>
          </w:tcPr>
          <w:p w14:paraId="0418877D" w14:textId="77777777" w:rsidR="003213F2" w:rsidRDefault="009C165D">
            <w:pPr>
              <w:jc w:val="center"/>
              <w:rPr>
                <w:rFonts w:eastAsia="Times New Roman"/>
                <w:sz w:val="20"/>
                <w:szCs w:val="20"/>
              </w:rPr>
            </w:pPr>
            <w:r>
              <w:rPr>
                <w:rFonts w:eastAsia="Times New Roman"/>
                <w:sz w:val="18"/>
                <w:szCs w:val="18"/>
              </w:rPr>
              <w:t>New York Stock Exchange</w:t>
            </w:r>
          </w:p>
        </w:tc>
      </w:tr>
      <w:tr w:rsidR="003213F2" w14:paraId="20690463" w14:textId="77777777">
        <w:tc>
          <w:tcPr>
            <w:tcW w:w="0" w:type="auto"/>
            <w:tcMar>
              <w:top w:w="0" w:type="dxa"/>
              <w:left w:w="108" w:type="dxa"/>
              <w:bottom w:w="0" w:type="dxa"/>
              <w:right w:w="108" w:type="dxa"/>
            </w:tcMar>
            <w:hideMark/>
          </w:tcPr>
          <w:p w14:paraId="29E3C1C5" w14:textId="77777777" w:rsidR="003213F2" w:rsidRDefault="009C165D">
            <w:pPr>
              <w:jc w:val="center"/>
              <w:rPr>
                <w:rFonts w:eastAsia="Times New Roman"/>
                <w:sz w:val="20"/>
                <w:szCs w:val="20"/>
              </w:rPr>
            </w:pPr>
            <w:r>
              <w:rPr>
                <w:rFonts w:eastAsia="Times New Roman"/>
                <w:sz w:val="18"/>
                <w:szCs w:val="18"/>
              </w:rPr>
              <w:t>2.125% Senior Notes due 2029</w:t>
            </w:r>
          </w:p>
        </w:tc>
        <w:tc>
          <w:tcPr>
            <w:tcW w:w="0" w:type="auto"/>
            <w:hideMark/>
          </w:tcPr>
          <w:p w14:paraId="218D743E" w14:textId="77777777" w:rsidR="003213F2" w:rsidRDefault="009C165D">
            <w:pPr>
              <w:rPr>
                <w:rFonts w:eastAsia="Times New Roman"/>
                <w:sz w:val="20"/>
                <w:szCs w:val="20"/>
              </w:rPr>
            </w:pPr>
            <w:r>
              <w:rPr>
                <w:rFonts w:eastAsia="Times New Roman"/>
                <w:sz w:val="18"/>
                <w:szCs w:val="18"/>
              </w:rPr>
              <w:t> </w:t>
            </w:r>
          </w:p>
        </w:tc>
        <w:tc>
          <w:tcPr>
            <w:tcW w:w="0" w:type="auto"/>
            <w:tcMar>
              <w:top w:w="0" w:type="dxa"/>
              <w:left w:w="108" w:type="dxa"/>
              <w:bottom w:w="0" w:type="dxa"/>
              <w:right w:w="108" w:type="dxa"/>
            </w:tcMar>
            <w:hideMark/>
          </w:tcPr>
          <w:p w14:paraId="4AB1218D" w14:textId="77777777" w:rsidR="003213F2" w:rsidRDefault="009C165D">
            <w:pPr>
              <w:jc w:val="center"/>
              <w:rPr>
                <w:rFonts w:eastAsia="Times New Roman"/>
                <w:sz w:val="20"/>
                <w:szCs w:val="20"/>
              </w:rPr>
            </w:pPr>
            <w:r>
              <w:rPr>
                <w:rFonts w:eastAsia="Times New Roman"/>
                <w:sz w:val="18"/>
                <w:szCs w:val="18"/>
              </w:rPr>
              <w:t>ABBV29</w:t>
            </w:r>
          </w:p>
        </w:tc>
        <w:tc>
          <w:tcPr>
            <w:tcW w:w="0" w:type="auto"/>
            <w:hideMark/>
          </w:tcPr>
          <w:p w14:paraId="0860EC74" w14:textId="77777777" w:rsidR="003213F2" w:rsidRDefault="009C165D">
            <w:pPr>
              <w:rPr>
                <w:rFonts w:eastAsia="Times New Roman"/>
                <w:sz w:val="20"/>
                <w:szCs w:val="20"/>
              </w:rPr>
            </w:pPr>
            <w:r>
              <w:rPr>
                <w:rFonts w:eastAsia="Times New Roman"/>
                <w:sz w:val="18"/>
                <w:szCs w:val="18"/>
              </w:rPr>
              <w:t> </w:t>
            </w:r>
          </w:p>
        </w:tc>
        <w:tc>
          <w:tcPr>
            <w:tcW w:w="0" w:type="auto"/>
            <w:hideMark/>
          </w:tcPr>
          <w:p w14:paraId="095BC389" w14:textId="77777777" w:rsidR="003213F2" w:rsidRDefault="009C165D">
            <w:pPr>
              <w:jc w:val="center"/>
              <w:rPr>
                <w:rFonts w:eastAsia="Times New Roman"/>
                <w:sz w:val="20"/>
                <w:szCs w:val="20"/>
              </w:rPr>
            </w:pPr>
            <w:r>
              <w:rPr>
                <w:rFonts w:eastAsia="Times New Roman"/>
                <w:sz w:val="18"/>
                <w:szCs w:val="18"/>
              </w:rPr>
              <w:t>New York Stock Exchange</w:t>
            </w:r>
          </w:p>
        </w:tc>
      </w:tr>
      <w:tr w:rsidR="003213F2" w14:paraId="75179C1E" w14:textId="77777777">
        <w:tc>
          <w:tcPr>
            <w:tcW w:w="0" w:type="auto"/>
            <w:tcMar>
              <w:top w:w="0" w:type="dxa"/>
              <w:left w:w="108" w:type="dxa"/>
              <w:bottom w:w="0" w:type="dxa"/>
              <w:right w:w="108" w:type="dxa"/>
            </w:tcMar>
            <w:hideMark/>
          </w:tcPr>
          <w:p w14:paraId="77DA047B" w14:textId="77777777" w:rsidR="003213F2" w:rsidRDefault="009C165D">
            <w:pPr>
              <w:jc w:val="center"/>
              <w:rPr>
                <w:rFonts w:eastAsia="Times New Roman"/>
                <w:sz w:val="20"/>
                <w:szCs w:val="20"/>
              </w:rPr>
            </w:pPr>
            <w:r>
              <w:rPr>
                <w:rFonts w:eastAsia="Times New Roman"/>
                <w:sz w:val="18"/>
                <w:szCs w:val="18"/>
              </w:rPr>
              <w:t>1.250% Senior Notes due 2031</w:t>
            </w:r>
          </w:p>
        </w:tc>
        <w:tc>
          <w:tcPr>
            <w:tcW w:w="0" w:type="auto"/>
            <w:hideMark/>
          </w:tcPr>
          <w:p w14:paraId="01EADD92" w14:textId="77777777" w:rsidR="003213F2" w:rsidRDefault="009C165D">
            <w:pPr>
              <w:rPr>
                <w:rFonts w:eastAsia="Times New Roman"/>
                <w:sz w:val="20"/>
                <w:szCs w:val="20"/>
              </w:rPr>
            </w:pPr>
            <w:r>
              <w:rPr>
                <w:rFonts w:eastAsia="Times New Roman"/>
                <w:sz w:val="18"/>
                <w:szCs w:val="18"/>
              </w:rPr>
              <w:t> </w:t>
            </w:r>
          </w:p>
        </w:tc>
        <w:tc>
          <w:tcPr>
            <w:tcW w:w="0" w:type="auto"/>
            <w:tcMar>
              <w:top w:w="0" w:type="dxa"/>
              <w:left w:w="108" w:type="dxa"/>
              <w:bottom w:w="0" w:type="dxa"/>
              <w:right w:w="108" w:type="dxa"/>
            </w:tcMar>
            <w:hideMark/>
          </w:tcPr>
          <w:p w14:paraId="2A42D952" w14:textId="77777777" w:rsidR="003213F2" w:rsidRDefault="009C165D">
            <w:pPr>
              <w:jc w:val="center"/>
              <w:rPr>
                <w:rFonts w:eastAsia="Times New Roman"/>
                <w:sz w:val="20"/>
                <w:szCs w:val="20"/>
              </w:rPr>
            </w:pPr>
            <w:r>
              <w:rPr>
                <w:rFonts w:eastAsia="Times New Roman"/>
                <w:sz w:val="18"/>
                <w:szCs w:val="18"/>
              </w:rPr>
              <w:t>ABBV31</w:t>
            </w:r>
          </w:p>
        </w:tc>
        <w:tc>
          <w:tcPr>
            <w:tcW w:w="0" w:type="auto"/>
            <w:hideMark/>
          </w:tcPr>
          <w:p w14:paraId="6197E9DE" w14:textId="77777777" w:rsidR="003213F2" w:rsidRDefault="009C165D">
            <w:pPr>
              <w:rPr>
                <w:rFonts w:eastAsia="Times New Roman"/>
                <w:sz w:val="20"/>
                <w:szCs w:val="20"/>
              </w:rPr>
            </w:pPr>
            <w:r>
              <w:rPr>
                <w:rFonts w:eastAsia="Times New Roman"/>
                <w:sz w:val="18"/>
                <w:szCs w:val="18"/>
              </w:rPr>
              <w:t> </w:t>
            </w:r>
          </w:p>
        </w:tc>
        <w:tc>
          <w:tcPr>
            <w:tcW w:w="0" w:type="auto"/>
            <w:hideMark/>
          </w:tcPr>
          <w:p w14:paraId="1BF3DAA5" w14:textId="77777777" w:rsidR="003213F2" w:rsidRDefault="009C165D">
            <w:pPr>
              <w:jc w:val="center"/>
              <w:rPr>
                <w:rFonts w:eastAsia="Times New Roman"/>
                <w:sz w:val="20"/>
                <w:szCs w:val="20"/>
              </w:rPr>
            </w:pPr>
            <w:r>
              <w:rPr>
                <w:rFonts w:eastAsia="Times New Roman"/>
                <w:sz w:val="18"/>
                <w:szCs w:val="18"/>
              </w:rPr>
              <w:t>New York Stock Exchange</w:t>
            </w:r>
          </w:p>
        </w:tc>
      </w:tr>
    </w:tbl>
    <w:p w14:paraId="25CD233C" w14:textId="77777777" w:rsidR="003213F2" w:rsidRDefault="009C165D">
      <w:pPr>
        <w:pStyle w:val="NormalWeb"/>
        <w:spacing w:before="0" w:beforeAutospacing="0" w:after="0" w:afterAutospacing="0"/>
        <w:jc w:val="both"/>
        <w:rPr>
          <w:sz w:val="20"/>
          <w:szCs w:val="20"/>
        </w:rPr>
      </w:pPr>
      <w:r>
        <w:rPr>
          <w:sz w:val="20"/>
          <w:szCs w:val="20"/>
        </w:rPr>
        <w:t> </w:t>
      </w:r>
    </w:p>
    <w:p w14:paraId="49CD83D9" w14:textId="77777777" w:rsidR="003213F2" w:rsidRDefault="009C165D">
      <w:pPr>
        <w:pStyle w:val="NormalWeb"/>
        <w:spacing w:before="0" w:beforeAutospacing="0" w:after="0" w:afterAutospacing="0"/>
        <w:rPr>
          <w:sz w:val="20"/>
          <w:szCs w:val="20"/>
        </w:rPr>
      </w:pPr>
      <w:r>
        <w:rPr>
          <w:sz w:val="20"/>
          <w:szCs w:val="20"/>
        </w:rPr>
        <w:lastRenderedPageBreak/>
        <w:t>Indicate by check mark whether the registrant is an emerging growth company as defined in Rule 405 of the Securities Act of 1933 (§230.405 of this chapter) or Rule 12b-2 of the Securities Exchange Act of 1934 (§240.12b-2 of this chapter).</w:t>
      </w:r>
    </w:p>
    <w:p w14:paraId="6C47E782" w14:textId="77777777" w:rsidR="003213F2" w:rsidRDefault="009C165D">
      <w:pPr>
        <w:pStyle w:val="NormalWeb"/>
        <w:spacing w:before="0" w:beforeAutospacing="0" w:after="0" w:afterAutospacing="0"/>
        <w:jc w:val="both"/>
        <w:rPr>
          <w:sz w:val="20"/>
          <w:szCs w:val="20"/>
        </w:rPr>
      </w:pPr>
      <w:r>
        <w:rPr>
          <w:sz w:val="20"/>
          <w:szCs w:val="20"/>
        </w:rPr>
        <w:t> </w:t>
      </w:r>
    </w:p>
    <w:p w14:paraId="1D89519A" w14:textId="77777777" w:rsidR="003213F2" w:rsidRDefault="009C165D">
      <w:pPr>
        <w:pStyle w:val="NormalWeb"/>
        <w:spacing w:before="0" w:beforeAutospacing="0" w:after="0" w:afterAutospacing="0"/>
        <w:rPr>
          <w:sz w:val="20"/>
          <w:szCs w:val="20"/>
        </w:rPr>
      </w:pPr>
      <w:r>
        <w:rPr>
          <w:sz w:val="20"/>
          <w:szCs w:val="20"/>
        </w:rPr>
        <w:t xml:space="preserve">Emerging growth company </w:t>
      </w:r>
      <w:r>
        <w:rPr>
          <w:rFonts w:ascii="Wingdings" w:hAnsi="Wingdings"/>
          <w:sz w:val="20"/>
          <w:szCs w:val="20"/>
        </w:rPr>
        <w:t>¨</w:t>
      </w:r>
    </w:p>
    <w:p w14:paraId="380C3FA9" w14:textId="77777777" w:rsidR="003213F2" w:rsidRDefault="009C165D">
      <w:pPr>
        <w:pStyle w:val="NormalWeb"/>
        <w:spacing w:before="0" w:beforeAutospacing="0" w:after="0" w:afterAutospacing="0"/>
        <w:rPr>
          <w:sz w:val="20"/>
          <w:szCs w:val="20"/>
        </w:rPr>
      </w:pPr>
      <w:r>
        <w:rPr>
          <w:sz w:val="20"/>
          <w:szCs w:val="20"/>
        </w:rPr>
        <w:t> </w:t>
      </w:r>
    </w:p>
    <w:p w14:paraId="48F31182" w14:textId="77777777" w:rsidR="003213F2" w:rsidRDefault="009C165D">
      <w:pPr>
        <w:pStyle w:val="NormalWeb"/>
        <w:spacing w:before="0" w:beforeAutospacing="0" w:after="0" w:afterAutospacing="0"/>
        <w:rPr>
          <w:sz w:val="20"/>
          <w:szCs w:val="20"/>
        </w:rPr>
      </w:pPr>
      <w:r>
        <w:rPr>
          <w:sz w:val="20"/>
          <w:szCs w:val="20"/>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Wingdings" w:hAnsi="Wingdings"/>
          <w:sz w:val="20"/>
          <w:szCs w:val="20"/>
        </w:rPr>
        <w:t>¨</w:t>
      </w:r>
    </w:p>
    <w:p w14:paraId="2FF37D45" w14:textId="77777777" w:rsidR="003213F2" w:rsidRDefault="009C165D">
      <w:pPr>
        <w:pStyle w:val="NormalWeb"/>
        <w:spacing w:before="0" w:beforeAutospacing="0" w:after="0" w:afterAutospacing="0"/>
        <w:jc w:val="both"/>
        <w:rPr>
          <w:sz w:val="20"/>
          <w:szCs w:val="20"/>
        </w:rPr>
      </w:pPr>
      <w:r>
        <w:rPr>
          <w:sz w:val="20"/>
          <w:szCs w:val="20"/>
        </w:rPr>
        <w:t> </w:t>
      </w:r>
    </w:p>
    <w:p w14:paraId="2B19A020" w14:textId="77777777" w:rsidR="003213F2" w:rsidRDefault="009C165D">
      <w:pPr>
        <w:divId w:val="899243727"/>
        <w:rPr>
          <w:rFonts w:ascii="Arial" w:eastAsia="Times New Roman" w:hAnsi="Arial" w:cs="Arial"/>
          <w:sz w:val="2"/>
          <w:szCs w:val="2"/>
        </w:rPr>
      </w:pPr>
      <w:r>
        <w:rPr>
          <w:rFonts w:ascii="Arial" w:eastAsia="Times New Roman" w:hAnsi="Arial" w:cs="Arial"/>
          <w:sz w:val="2"/>
          <w:szCs w:val="2"/>
        </w:rPr>
        <w:t> </w:t>
      </w:r>
    </w:p>
    <w:p w14:paraId="1120C039" w14:textId="77777777" w:rsidR="003213F2" w:rsidRDefault="009C165D">
      <w:pPr>
        <w:pStyle w:val="NormalWeb"/>
        <w:spacing w:before="0" w:beforeAutospacing="0" w:after="0" w:afterAutospacing="0"/>
        <w:rPr>
          <w:sz w:val="20"/>
          <w:szCs w:val="20"/>
        </w:rPr>
      </w:pPr>
      <w:r>
        <w:rPr>
          <w:sz w:val="20"/>
          <w:szCs w:val="20"/>
        </w:rPr>
        <w:t> </w:t>
      </w:r>
    </w:p>
    <w:p w14:paraId="307B00F5" w14:textId="77777777" w:rsidR="003213F2" w:rsidRDefault="009C165D">
      <w:pPr>
        <w:pStyle w:val="NormalWeb"/>
        <w:pageBreakBefore/>
        <w:spacing w:before="0" w:beforeAutospacing="0" w:after="0" w:afterAutospacing="0"/>
        <w:divId w:val="2013951738"/>
        <w:rPr>
          <w:rFonts w:ascii="Arial" w:hAnsi="Arial" w:cs="Arial"/>
          <w:sz w:val="20"/>
          <w:szCs w:val="20"/>
        </w:rPr>
      </w:pPr>
      <w:r>
        <w:rPr>
          <w:rFonts w:ascii="Arial" w:hAnsi="Arial" w:cs="Arial"/>
          <w:sz w:val="20"/>
          <w:szCs w:val="20"/>
        </w:rPr>
        <w:lastRenderedPageBreak/>
        <w:t> </w:t>
      </w:r>
    </w:p>
    <w:p w14:paraId="79E07DF5" w14:textId="77777777" w:rsidR="003213F2" w:rsidRDefault="009C165D">
      <w:pPr>
        <w:pStyle w:val="NormalWeb"/>
        <w:spacing w:before="0" w:beforeAutospacing="0" w:after="0" w:afterAutospacing="0"/>
        <w:divId w:val="1586679"/>
        <w:rPr>
          <w:rFonts w:ascii="Arial" w:hAnsi="Arial" w:cs="Arial"/>
          <w:sz w:val="20"/>
          <w:szCs w:val="20"/>
        </w:rPr>
      </w:pPr>
      <w:r>
        <w:rPr>
          <w:rFonts w:ascii="Arial" w:hAnsi="Arial" w:cs="Arial"/>
          <w:sz w:val="20"/>
          <w:szCs w:val="20"/>
        </w:rPr>
        <w:t> </w:t>
      </w:r>
    </w:p>
    <w:p w14:paraId="344D20BB" w14:textId="77777777" w:rsidR="003213F2" w:rsidRDefault="009C165D">
      <w:pPr>
        <w:pStyle w:val="NormalWeb"/>
        <w:spacing w:before="0" w:beforeAutospacing="0" w:after="0" w:afterAutospacing="0"/>
        <w:rPr>
          <w:sz w:val="20"/>
          <w:szCs w:val="20"/>
        </w:rPr>
      </w:pPr>
      <w:r>
        <w:rPr>
          <w:sz w:val="20"/>
          <w:szCs w:val="20"/>
        </w:rPr>
        <w:t> </w:t>
      </w:r>
    </w:p>
    <w:p w14:paraId="0DED822C" w14:textId="77777777" w:rsidR="003213F2" w:rsidRDefault="009C165D">
      <w:pPr>
        <w:pStyle w:val="NormalWeb"/>
        <w:spacing w:before="0" w:beforeAutospacing="0" w:after="0" w:afterAutospacing="0"/>
        <w:rPr>
          <w:sz w:val="20"/>
          <w:szCs w:val="20"/>
        </w:rPr>
      </w:pPr>
      <w:r>
        <w:rPr>
          <w:b/>
          <w:bCs/>
          <w:sz w:val="20"/>
          <w:szCs w:val="20"/>
        </w:rPr>
        <w:t>Item 7.01 Regulation FD Disclosure</w:t>
      </w:r>
    </w:p>
    <w:p w14:paraId="6BA79C76" w14:textId="77777777" w:rsidR="003213F2" w:rsidRDefault="009C165D">
      <w:pPr>
        <w:pStyle w:val="NormalWeb"/>
        <w:spacing w:before="0" w:beforeAutospacing="0" w:after="0" w:afterAutospacing="0"/>
        <w:rPr>
          <w:sz w:val="20"/>
          <w:szCs w:val="20"/>
        </w:rPr>
      </w:pPr>
      <w:r>
        <w:rPr>
          <w:sz w:val="20"/>
          <w:szCs w:val="20"/>
        </w:rPr>
        <w:t> </w:t>
      </w:r>
    </w:p>
    <w:p w14:paraId="182A49D7" w14:textId="77777777" w:rsidR="003213F2" w:rsidRDefault="009C165D">
      <w:pPr>
        <w:pStyle w:val="NormalWeb"/>
        <w:spacing w:before="0" w:beforeAutospacing="0" w:after="0" w:afterAutospacing="0"/>
        <w:rPr>
          <w:sz w:val="20"/>
          <w:szCs w:val="20"/>
        </w:rPr>
      </w:pPr>
      <w:r>
        <w:rPr>
          <w:sz w:val="20"/>
          <w:szCs w:val="20"/>
        </w:rPr>
        <w:t>On June 22, 2026, AbbVie Inc. (the “Company”) and Apogee Therapeutics, Inc. (“Apogee”) issued a joint press release announcing a definitive agreement pursuant to which the Company will acquire Apogee, on the terms and subject to the conditions set forth therein. The press release is attached hereto as Exhibit 99.1 and incorporated by reference herein.</w:t>
      </w:r>
    </w:p>
    <w:p w14:paraId="295F7108" w14:textId="77777777" w:rsidR="003213F2" w:rsidRDefault="009C165D">
      <w:pPr>
        <w:pStyle w:val="NormalWeb"/>
        <w:spacing w:before="0" w:beforeAutospacing="0" w:after="0" w:afterAutospacing="0"/>
        <w:rPr>
          <w:sz w:val="20"/>
          <w:szCs w:val="20"/>
        </w:rPr>
      </w:pPr>
      <w:r>
        <w:rPr>
          <w:sz w:val="20"/>
          <w:szCs w:val="20"/>
        </w:rPr>
        <w:t> </w:t>
      </w:r>
    </w:p>
    <w:p w14:paraId="4D801506" w14:textId="77777777" w:rsidR="003213F2" w:rsidRDefault="009C165D">
      <w:pPr>
        <w:pStyle w:val="NormalWeb"/>
        <w:spacing w:before="0" w:beforeAutospacing="0" w:after="0" w:afterAutospacing="0"/>
        <w:rPr>
          <w:sz w:val="20"/>
          <w:szCs w:val="20"/>
        </w:rPr>
      </w:pPr>
      <w:r>
        <w:rPr>
          <w:sz w:val="20"/>
          <w:szCs w:val="20"/>
        </w:rPr>
        <w:t>On June 22, 2026, representatives of the Company will present information about the proposed transaction to various investors of the Company. The presentation will include the slides attached hereto as Exhibit 99.2 and incorporated by reference herein.</w:t>
      </w:r>
    </w:p>
    <w:p w14:paraId="45B36E35" w14:textId="77777777" w:rsidR="003213F2" w:rsidRDefault="009C165D">
      <w:pPr>
        <w:pStyle w:val="NormalWeb"/>
        <w:spacing w:before="0" w:beforeAutospacing="0" w:after="0" w:afterAutospacing="0"/>
        <w:rPr>
          <w:sz w:val="20"/>
          <w:szCs w:val="20"/>
        </w:rPr>
      </w:pPr>
      <w:r>
        <w:rPr>
          <w:sz w:val="20"/>
          <w:szCs w:val="20"/>
        </w:rPr>
        <w:t> </w:t>
      </w:r>
    </w:p>
    <w:p w14:paraId="0F97B7BB" w14:textId="77777777" w:rsidR="003213F2" w:rsidRDefault="009C165D">
      <w:pPr>
        <w:pStyle w:val="NormalWeb"/>
        <w:spacing w:before="0" w:beforeAutospacing="0" w:after="0" w:afterAutospacing="0"/>
        <w:rPr>
          <w:sz w:val="20"/>
          <w:szCs w:val="20"/>
        </w:rPr>
      </w:pPr>
      <w:r>
        <w:rPr>
          <w:sz w:val="20"/>
          <w:szCs w:val="20"/>
        </w:rPr>
        <w:t>The information in this Item 7.01, including the exhibits referenced herein and attached hereto, shall not be deemed “filed” for purposes of Section 18 of the Securities Exchange Act of 1934 (the “Exchange Act”), nor shall they be deemed incorporated by reference in any Company filing under the Securities Act of 1933 or the Exchange Act, except as shall be expressly set forth by specific reference in such filing.</w:t>
      </w:r>
    </w:p>
    <w:p w14:paraId="4A70378E" w14:textId="77777777" w:rsidR="003213F2" w:rsidRDefault="009C165D">
      <w:pPr>
        <w:pStyle w:val="NormalWeb"/>
        <w:spacing w:before="0" w:beforeAutospacing="0" w:after="0" w:afterAutospacing="0"/>
        <w:rPr>
          <w:sz w:val="20"/>
          <w:szCs w:val="20"/>
        </w:rPr>
      </w:pPr>
      <w:r>
        <w:rPr>
          <w:sz w:val="20"/>
          <w:szCs w:val="20"/>
        </w:rPr>
        <w:t> </w:t>
      </w:r>
    </w:p>
    <w:p w14:paraId="4E102C62" w14:textId="77777777" w:rsidR="003213F2" w:rsidRDefault="009C165D">
      <w:pPr>
        <w:pStyle w:val="NormalWeb"/>
        <w:spacing w:before="0" w:beforeAutospacing="0" w:after="0" w:afterAutospacing="0"/>
        <w:rPr>
          <w:sz w:val="20"/>
          <w:szCs w:val="20"/>
        </w:rPr>
      </w:pPr>
      <w:r>
        <w:rPr>
          <w:b/>
          <w:bCs/>
          <w:sz w:val="20"/>
          <w:szCs w:val="20"/>
        </w:rPr>
        <w:t>Forward-Looking Statements</w:t>
      </w:r>
    </w:p>
    <w:p w14:paraId="5D8397B9" w14:textId="77777777" w:rsidR="003213F2" w:rsidRDefault="009C165D">
      <w:pPr>
        <w:pStyle w:val="NormalWeb"/>
        <w:spacing w:before="0" w:beforeAutospacing="0" w:after="0" w:afterAutospacing="0"/>
        <w:rPr>
          <w:sz w:val="20"/>
          <w:szCs w:val="20"/>
        </w:rPr>
      </w:pPr>
      <w:r>
        <w:rPr>
          <w:sz w:val="20"/>
          <w:szCs w:val="20"/>
        </w:rPr>
        <w:t> </w:t>
      </w:r>
    </w:p>
    <w:p w14:paraId="1C60722B" w14:textId="77777777" w:rsidR="003213F2" w:rsidRDefault="009C165D">
      <w:pPr>
        <w:pStyle w:val="NormalWeb"/>
        <w:spacing w:before="0" w:beforeAutospacing="0" w:after="0" w:afterAutospacing="0"/>
        <w:rPr>
          <w:sz w:val="20"/>
          <w:szCs w:val="20"/>
        </w:rPr>
      </w:pPr>
      <w:r>
        <w:rPr>
          <w:sz w:val="20"/>
          <w:szCs w:val="20"/>
        </w:rPr>
        <w:t xml:space="preserve">This Current Report on Form 8-K (including the exhibits thereto) contains statements that constitute “forward-looking statements” within the meaning of the Private Securities Litigation Reform Act of 1995, Section 27A of the Securities Act of 1933 and Section 21E of the Securities Exchange Act of 1934, each as amended. All statements other than statements of historical </w:t>
      </w:r>
      <w:proofErr w:type="gramStart"/>
      <w:r>
        <w:rPr>
          <w:sz w:val="20"/>
          <w:szCs w:val="20"/>
        </w:rPr>
        <w:t>fact</w:t>
      </w:r>
      <w:proofErr w:type="gramEnd"/>
      <w:r>
        <w:rPr>
          <w:sz w:val="20"/>
          <w:szCs w:val="20"/>
        </w:rPr>
        <w:t>, including statements regarding market and industry prospects and future results of operations or financial position made in this Current Report on Form 8-K are forward-looking. In many cases, you can identify forward-looking statements by terminology, such as “may,” “should,” “expects,” “intends,” “plans,” “anticipates,” “believes,” “estimates,” “predicts,” “potential,” “continue” or the negative of such terms and other comparable terminology. Statements in this Current Report on Form 8-K that are for</w:t>
      </w:r>
      <w:r>
        <w:rPr>
          <w:sz w:val="20"/>
          <w:szCs w:val="20"/>
        </w:rPr>
        <w:t xml:space="preserve">ward-looking may include, but are not limited to, statements regarding the benefits of the proposed acquisition of Apogee by AbbVie and the associated integration plans, anticipated future operating performance and results of Apogee, the expected accretion to </w:t>
      </w:r>
      <w:proofErr w:type="spellStart"/>
      <w:r>
        <w:rPr>
          <w:sz w:val="20"/>
          <w:szCs w:val="20"/>
        </w:rPr>
        <w:t>Abbvie’s</w:t>
      </w:r>
      <w:proofErr w:type="spellEnd"/>
      <w:r>
        <w:rPr>
          <w:sz w:val="20"/>
          <w:szCs w:val="20"/>
        </w:rPr>
        <w:t xml:space="preserve"> adjusted diluted earnings per share beginning in 2032, the expected timing of the closing of the proposed acquisition and other transactions contemplated by the merger agreement governing the proposed acquisition (the “Merger Agreement”), and </w:t>
      </w:r>
      <w:r>
        <w:rPr>
          <w:sz w:val="20"/>
          <w:szCs w:val="20"/>
        </w:rPr>
        <w:t xml:space="preserve">the potential of </w:t>
      </w:r>
      <w:proofErr w:type="spellStart"/>
      <w:r>
        <w:rPr>
          <w:sz w:val="20"/>
          <w:szCs w:val="20"/>
        </w:rPr>
        <w:t>zumilokibart</w:t>
      </w:r>
      <w:proofErr w:type="spellEnd"/>
      <w:r>
        <w:rPr>
          <w:sz w:val="20"/>
          <w:szCs w:val="20"/>
        </w:rPr>
        <w:t xml:space="preserve"> (APG777) and other Apogee’s pipeline assets. There may also be other statements of expectations, beliefs, </w:t>
      </w:r>
      <w:proofErr w:type="gramStart"/>
      <w:r>
        <w:rPr>
          <w:sz w:val="20"/>
          <w:szCs w:val="20"/>
        </w:rPr>
        <w:t>future plans</w:t>
      </w:r>
      <w:proofErr w:type="gramEnd"/>
      <w:r>
        <w:rPr>
          <w:sz w:val="20"/>
          <w:szCs w:val="20"/>
        </w:rPr>
        <w:t xml:space="preserve"> and strategies, anticipated events or trends and similar expressions concerning matters that are not historical facts. Readers are cautioned that any such forward-looking statements are not guarantees of future performance and involve risks and uncertainties, many of which are difficult to predict and are generally outside Apogee’s control, that could cause act</w:t>
      </w:r>
      <w:r>
        <w:rPr>
          <w:sz w:val="20"/>
          <w:szCs w:val="20"/>
        </w:rPr>
        <w:t>ual performance or results to differ materially from those expressed in, or implied or projected by, the forward-looking statements. Such risks and uncertainties include, but are not limited to: the occurrence of any event, change or other circumstance that could give rise to the right of Apogee or AbbVie or both of them to terminate the Merger Agreement, including circumstances requiring a party to pay the other party a termination fee pursuant to the Merger Agreement; the failure to obtain applicable regu</w:t>
      </w:r>
      <w:r>
        <w:rPr>
          <w:sz w:val="20"/>
          <w:szCs w:val="20"/>
        </w:rPr>
        <w:t>latory or Apogee stockholder approval in a timely manner or otherwise; the risk that the proposed acquisition may not close in the anticipated timeframe or at all due to one or more of the other closing conditions to the transaction not being satisfied or waived; the possibility of competing acquisition proposals for Apogee; the risk that there may be unexpected costs, charges or expenses resulting from the proposed acquisition; risks related to the ability of Apogee and AbbVie to successfully integrate the</w:t>
      </w:r>
      <w:r>
        <w:rPr>
          <w:sz w:val="20"/>
          <w:szCs w:val="20"/>
        </w:rPr>
        <w:t xml:space="preserve"> businesses and the possibility that such integration may be more difficult, time consuming or costly than expected; risks that the proposed transaction disrupts Apogee’s or AbbVie’s current plans and operations; the risk that certain restrictions during the pendency of the proposed transaction may impact Apogee’s ability to pursue certain business opportunities or strategic transactions; risks related to disruption of each company’s management’s time and attention from ongoing business operations due to th</w:t>
      </w:r>
      <w:r>
        <w:rPr>
          <w:sz w:val="20"/>
          <w:szCs w:val="20"/>
        </w:rPr>
        <w:t xml:space="preserve">e proposed transaction; the risk that any announcements relating to the proposed transaction could have adverse effects on the market price of Apogee’s and/or AbbVie’s common stock, credit ratings or operating results; the risk that the proposed transaction and its announcement could have an adverse effect on the </w:t>
      </w:r>
      <w:r>
        <w:rPr>
          <w:sz w:val="20"/>
          <w:szCs w:val="20"/>
        </w:rPr>
        <w:lastRenderedPageBreak/>
        <w:t>ability of Apogee and AbbVie to retain and hire key personnel, to retain customers and to maintain relationships with each of their respective business partners, suppliers and customers and on thei</w:t>
      </w:r>
      <w:r>
        <w:rPr>
          <w:sz w:val="20"/>
          <w:szCs w:val="20"/>
        </w:rPr>
        <w:t xml:space="preserve">r respective operating results and businesses generally; the risk of litigation that could be instituted against the parties to the Merger Agreement or their respective directors, managers or officers and/or regulatory actions related to the proposed acquisition, including the effects of any outcomes related thereto; the risk that </w:t>
      </w:r>
      <w:proofErr w:type="spellStart"/>
      <w:r>
        <w:rPr>
          <w:sz w:val="20"/>
          <w:szCs w:val="20"/>
        </w:rPr>
        <w:t>zumilokibart</w:t>
      </w:r>
      <w:proofErr w:type="spellEnd"/>
      <w:r>
        <w:rPr>
          <w:sz w:val="20"/>
          <w:szCs w:val="20"/>
        </w:rPr>
        <w:t xml:space="preserve"> (APG777) or APG273 and other Apogee’s pipeline assets may not demonstrate the anticipated success, safety, or efficacy in ongoing or future clinical trials; the risk </w:t>
      </w:r>
      <w:r>
        <w:rPr>
          <w:sz w:val="20"/>
          <w:szCs w:val="20"/>
        </w:rPr>
        <w:t xml:space="preserve">that positive Phase 2 and Phase 1b interim results for </w:t>
      </w:r>
      <w:proofErr w:type="spellStart"/>
      <w:r>
        <w:rPr>
          <w:sz w:val="20"/>
          <w:szCs w:val="20"/>
        </w:rPr>
        <w:t>zumilokibart</w:t>
      </w:r>
      <w:proofErr w:type="spellEnd"/>
      <w:r>
        <w:rPr>
          <w:sz w:val="20"/>
          <w:szCs w:val="20"/>
        </w:rPr>
        <w:t xml:space="preserve"> (APG777) may not be predictive of results in later-stage or larger clinical trials; challenges to intellectual property; adverse litigation or government action; competition from other products; difficulties inherent in the research and development process; risks related to unpredictable and severe or catastrophic events, including but not limited to acts of terrorism, war or hostilities, </w:t>
      </w:r>
      <w:proofErr w:type="spellStart"/>
      <w:r>
        <w:rPr>
          <w:sz w:val="20"/>
          <w:szCs w:val="20"/>
        </w:rPr>
        <w:t>cyber attacks</w:t>
      </w:r>
      <w:proofErr w:type="spellEnd"/>
      <w:r>
        <w:rPr>
          <w:sz w:val="20"/>
          <w:szCs w:val="20"/>
        </w:rPr>
        <w:t>, or the impact of any pandemic, epidem</w:t>
      </w:r>
      <w:r>
        <w:rPr>
          <w:sz w:val="20"/>
          <w:szCs w:val="20"/>
        </w:rPr>
        <w:t xml:space="preserve">ic or outbreak of an infectious disease in the United States or worldwide on Apogee’s or AbbVie’s business, financial condition and results of operations, as well as the response thereto by each company’s management; and other business effects, including the effects of industry, market, economic, political or regulatory conditions. Also, </w:t>
      </w:r>
      <w:proofErr w:type="spellStart"/>
      <w:r>
        <w:rPr>
          <w:sz w:val="20"/>
          <w:szCs w:val="20"/>
        </w:rPr>
        <w:t>Abbvie’s</w:t>
      </w:r>
      <w:proofErr w:type="spellEnd"/>
      <w:r>
        <w:rPr>
          <w:sz w:val="20"/>
          <w:szCs w:val="20"/>
        </w:rPr>
        <w:t xml:space="preserve"> and Apogee’s actual results may differ materially from those contemplated by the forward-looking statements for a number of additional reasons as described in </w:t>
      </w:r>
      <w:proofErr w:type="spellStart"/>
      <w:r>
        <w:rPr>
          <w:sz w:val="20"/>
          <w:szCs w:val="20"/>
        </w:rPr>
        <w:t>Abbv</w:t>
      </w:r>
      <w:r>
        <w:rPr>
          <w:sz w:val="20"/>
          <w:szCs w:val="20"/>
        </w:rPr>
        <w:t>ie’s</w:t>
      </w:r>
      <w:proofErr w:type="spellEnd"/>
      <w:r>
        <w:rPr>
          <w:sz w:val="20"/>
          <w:szCs w:val="20"/>
        </w:rPr>
        <w:t xml:space="preserve"> and Apogee’s filings with the Securities and Exchange Commission (the “SEC”), including those set forth in the Risk Factors section and under any “Forward-Looking Statements” or similar heading in </w:t>
      </w:r>
      <w:proofErr w:type="spellStart"/>
      <w:r>
        <w:rPr>
          <w:sz w:val="20"/>
          <w:szCs w:val="20"/>
        </w:rPr>
        <w:t>Abbvie’s</w:t>
      </w:r>
      <w:proofErr w:type="spellEnd"/>
      <w:r>
        <w:rPr>
          <w:sz w:val="20"/>
          <w:szCs w:val="20"/>
        </w:rPr>
        <w:t xml:space="preserve"> and Apogee’s most recently filed Annual Report on Form 10-K filed on February 20, 2026 and March 2, 2026, respectively, and subsequent Quarterly Reports on Form 10-Q and Current Reports on Form 8-K. </w:t>
      </w:r>
      <w:proofErr w:type="spellStart"/>
      <w:r>
        <w:rPr>
          <w:sz w:val="20"/>
          <w:szCs w:val="20"/>
        </w:rPr>
        <w:t>Abbvie</w:t>
      </w:r>
      <w:proofErr w:type="spellEnd"/>
      <w:r>
        <w:rPr>
          <w:sz w:val="20"/>
          <w:szCs w:val="20"/>
        </w:rPr>
        <w:t xml:space="preserve"> and Apogee have based these forward-looking statements on their current expectations and projec</w:t>
      </w:r>
      <w:r>
        <w:rPr>
          <w:sz w:val="20"/>
          <w:szCs w:val="20"/>
        </w:rPr>
        <w:t xml:space="preserve">tions about future events. Although the parties believe that the assumptions on which the forward-looking statements contained herein are based are reasonable, any of those assumptions could prove to be inaccurate. As a result, the forward-looking statements based upon those assumptions also could be incorrect. Except to the extent required by law, </w:t>
      </w:r>
      <w:proofErr w:type="spellStart"/>
      <w:r>
        <w:rPr>
          <w:sz w:val="20"/>
          <w:szCs w:val="20"/>
        </w:rPr>
        <w:t>Abbvie</w:t>
      </w:r>
      <w:proofErr w:type="spellEnd"/>
      <w:r>
        <w:rPr>
          <w:sz w:val="20"/>
          <w:szCs w:val="20"/>
        </w:rPr>
        <w:t xml:space="preserve"> and Apogee undertake no obligation to publicly update or revise any forward-looking statements, whether </w:t>
      </w:r>
      <w:proofErr w:type="gramStart"/>
      <w:r>
        <w:rPr>
          <w:sz w:val="20"/>
          <w:szCs w:val="20"/>
        </w:rPr>
        <w:t>as a result of</w:t>
      </w:r>
      <w:proofErr w:type="gramEnd"/>
      <w:r>
        <w:rPr>
          <w:sz w:val="20"/>
          <w:szCs w:val="20"/>
        </w:rPr>
        <w:t xml:space="preserve"> new information, future events or o</w:t>
      </w:r>
      <w:r>
        <w:rPr>
          <w:sz w:val="20"/>
          <w:szCs w:val="20"/>
        </w:rPr>
        <w:t>therwise.</w:t>
      </w:r>
    </w:p>
    <w:p w14:paraId="3B08ACEB" w14:textId="77777777" w:rsidR="003213F2" w:rsidRDefault="009C165D">
      <w:pPr>
        <w:pStyle w:val="NormalWeb"/>
        <w:spacing w:before="0" w:beforeAutospacing="0" w:after="0" w:afterAutospacing="0"/>
        <w:rPr>
          <w:sz w:val="20"/>
          <w:szCs w:val="20"/>
        </w:rPr>
      </w:pPr>
      <w:r>
        <w:rPr>
          <w:sz w:val="20"/>
          <w:szCs w:val="20"/>
        </w:rPr>
        <w:t> </w:t>
      </w:r>
    </w:p>
    <w:p w14:paraId="56DE9048" w14:textId="77777777" w:rsidR="003213F2" w:rsidRDefault="009C165D">
      <w:pPr>
        <w:pStyle w:val="NormalWeb"/>
        <w:spacing w:before="0" w:beforeAutospacing="0" w:after="0" w:afterAutospacing="0"/>
        <w:divId w:val="1417627705"/>
        <w:rPr>
          <w:rFonts w:ascii="Arial" w:hAnsi="Arial" w:cs="Arial"/>
          <w:sz w:val="20"/>
          <w:szCs w:val="20"/>
        </w:rPr>
      </w:pPr>
      <w:r>
        <w:rPr>
          <w:rFonts w:ascii="Arial" w:hAnsi="Arial" w:cs="Arial"/>
          <w:sz w:val="20"/>
          <w:szCs w:val="20"/>
        </w:rPr>
        <w:t> </w:t>
      </w:r>
    </w:p>
    <w:p w14:paraId="3351FCFD" w14:textId="77777777" w:rsidR="003213F2" w:rsidRDefault="009C165D">
      <w:pPr>
        <w:pStyle w:val="NormalWeb"/>
        <w:pageBreakBefore/>
        <w:spacing w:before="0" w:beforeAutospacing="0" w:after="0" w:afterAutospacing="0"/>
        <w:divId w:val="1275819982"/>
        <w:rPr>
          <w:rFonts w:ascii="Arial" w:hAnsi="Arial" w:cs="Arial"/>
          <w:sz w:val="20"/>
          <w:szCs w:val="20"/>
        </w:rPr>
      </w:pPr>
      <w:r>
        <w:rPr>
          <w:rFonts w:ascii="Arial" w:hAnsi="Arial" w:cs="Arial"/>
          <w:sz w:val="20"/>
          <w:szCs w:val="20"/>
        </w:rPr>
        <w:lastRenderedPageBreak/>
        <w:t> </w:t>
      </w:r>
    </w:p>
    <w:p w14:paraId="6B633FCA" w14:textId="77777777" w:rsidR="003213F2" w:rsidRDefault="009C165D">
      <w:pPr>
        <w:pStyle w:val="NormalWeb"/>
        <w:spacing w:before="0" w:beforeAutospacing="0" w:after="0" w:afterAutospacing="0"/>
        <w:rPr>
          <w:sz w:val="20"/>
          <w:szCs w:val="20"/>
        </w:rPr>
      </w:pPr>
      <w:r>
        <w:rPr>
          <w:sz w:val="20"/>
          <w:szCs w:val="20"/>
        </w:rPr>
        <w:t>  </w:t>
      </w:r>
    </w:p>
    <w:p w14:paraId="599305F8" w14:textId="77777777" w:rsidR="003213F2" w:rsidRDefault="009C165D">
      <w:pPr>
        <w:pStyle w:val="NormalWeb"/>
        <w:spacing w:before="0" w:beforeAutospacing="0" w:after="0" w:afterAutospacing="0"/>
        <w:rPr>
          <w:sz w:val="20"/>
          <w:szCs w:val="20"/>
        </w:rPr>
      </w:pPr>
      <w:r>
        <w:rPr>
          <w:b/>
          <w:bCs/>
          <w:sz w:val="20"/>
          <w:szCs w:val="20"/>
        </w:rPr>
        <w:t>Item 9.01 Financial Statements and Exhibits</w:t>
      </w:r>
    </w:p>
    <w:p w14:paraId="7858CFFC" w14:textId="77777777" w:rsidR="003213F2" w:rsidRDefault="009C165D">
      <w:pPr>
        <w:pStyle w:val="NormalWeb"/>
        <w:spacing w:before="0" w:beforeAutospacing="0" w:after="0" w:afterAutospacing="0"/>
        <w:rPr>
          <w:sz w:val="20"/>
          <w:szCs w:val="20"/>
        </w:rPr>
      </w:pPr>
      <w:r>
        <w:rPr>
          <w:sz w:val="20"/>
          <w:szCs w:val="20"/>
        </w:rPr>
        <w:t> </w:t>
      </w:r>
    </w:p>
    <w:p w14:paraId="022FEF09" w14:textId="77777777" w:rsidR="003213F2" w:rsidRDefault="009C165D">
      <w:pPr>
        <w:pStyle w:val="NormalWeb"/>
        <w:spacing w:before="0" w:beforeAutospacing="0" w:after="0" w:afterAutospacing="0"/>
        <w:rPr>
          <w:sz w:val="20"/>
          <w:szCs w:val="20"/>
        </w:rPr>
      </w:pPr>
      <w:r>
        <w:rPr>
          <w:sz w:val="20"/>
          <w:szCs w:val="20"/>
        </w:rPr>
        <w:t>(d) Exhibits</w:t>
      </w:r>
    </w:p>
    <w:p w14:paraId="03F1E2BF" w14:textId="77777777" w:rsidR="003213F2" w:rsidRDefault="009C165D">
      <w:pPr>
        <w:pStyle w:val="NormalWeb"/>
        <w:spacing w:before="0" w:beforeAutospacing="0" w:after="0" w:afterAutospacing="0"/>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936"/>
        <w:gridCol w:w="187"/>
        <w:gridCol w:w="8237"/>
      </w:tblGrid>
      <w:tr w:rsidR="003213F2" w14:paraId="23005461" w14:textId="77777777">
        <w:tc>
          <w:tcPr>
            <w:tcW w:w="500" w:type="pct"/>
            <w:tcBorders>
              <w:bottom w:val="single" w:sz="8" w:space="0" w:color="000000"/>
            </w:tcBorders>
            <w:vAlign w:val="bottom"/>
            <w:hideMark/>
          </w:tcPr>
          <w:p w14:paraId="71946EE3" w14:textId="77777777" w:rsidR="003213F2" w:rsidRDefault="009C165D">
            <w:pPr>
              <w:rPr>
                <w:rFonts w:eastAsia="Times New Roman"/>
                <w:sz w:val="20"/>
                <w:szCs w:val="20"/>
              </w:rPr>
            </w:pPr>
            <w:r>
              <w:rPr>
                <w:rFonts w:eastAsia="Times New Roman"/>
                <w:b/>
                <w:bCs/>
                <w:sz w:val="20"/>
                <w:szCs w:val="20"/>
              </w:rPr>
              <w:t>Exhibit No.</w:t>
            </w:r>
          </w:p>
        </w:tc>
        <w:tc>
          <w:tcPr>
            <w:tcW w:w="100" w:type="pct"/>
            <w:vAlign w:val="bottom"/>
            <w:hideMark/>
          </w:tcPr>
          <w:p w14:paraId="666EDF75" w14:textId="77777777" w:rsidR="003213F2" w:rsidRDefault="009C165D">
            <w:pPr>
              <w:jc w:val="center"/>
              <w:rPr>
                <w:rFonts w:eastAsia="Times New Roman"/>
                <w:sz w:val="20"/>
                <w:szCs w:val="20"/>
              </w:rPr>
            </w:pPr>
            <w:r>
              <w:rPr>
                <w:rFonts w:eastAsia="Times New Roman"/>
                <w:sz w:val="20"/>
                <w:szCs w:val="20"/>
              </w:rPr>
              <w:t> </w:t>
            </w:r>
          </w:p>
        </w:tc>
        <w:tc>
          <w:tcPr>
            <w:tcW w:w="4400" w:type="pct"/>
            <w:tcBorders>
              <w:bottom w:val="single" w:sz="8" w:space="0" w:color="000000"/>
            </w:tcBorders>
            <w:vAlign w:val="bottom"/>
            <w:hideMark/>
          </w:tcPr>
          <w:p w14:paraId="467F76E0" w14:textId="77777777" w:rsidR="003213F2" w:rsidRDefault="009C165D">
            <w:pPr>
              <w:rPr>
                <w:rFonts w:eastAsia="Times New Roman"/>
                <w:sz w:val="20"/>
                <w:szCs w:val="20"/>
              </w:rPr>
            </w:pPr>
            <w:r>
              <w:rPr>
                <w:rFonts w:eastAsia="Times New Roman"/>
                <w:b/>
                <w:bCs/>
                <w:sz w:val="20"/>
                <w:szCs w:val="20"/>
              </w:rPr>
              <w:t>Exhibit</w:t>
            </w:r>
          </w:p>
        </w:tc>
      </w:tr>
      <w:tr w:rsidR="003213F2" w14:paraId="17028F95" w14:textId="77777777">
        <w:tc>
          <w:tcPr>
            <w:tcW w:w="0" w:type="auto"/>
            <w:hideMark/>
          </w:tcPr>
          <w:p w14:paraId="5EB1E162" w14:textId="77777777" w:rsidR="003213F2" w:rsidRDefault="009C165D">
            <w:pPr>
              <w:rPr>
                <w:rFonts w:eastAsia="Times New Roman"/>
                <w:sz w:val="20"/>
                <w:szCs w:val="20"/>
              </w:rPr>
            </w:pPr>
            <w:r>
              <w:rPr>
                <w:rFonts w:eastAsia="Times New Roman"/>
                <w:sz w:val="20"/>
                <w:szCs w:val="20"/>
              </w:rPr>
              <w:t> </w:t>
            </w:r>
          </w:p>
        </w:tc>
        <w:tc>
          <w:tcPr>
            <w:tcW w:w="0" w:type="auto"/>
            <w:vAlign w:val="bottom"/>
            <w:hideMark/>
          </w:tcPr>
          <w:p w14:paraId="692045C4" w14:textId="77777777" w:rsidR="003213F2" w:rsidRDefault="009C165D">
            <w:pPr>
              <w:rPr>
                <w:rFonts w:eastAsia="Times New Roman"/>
                <w:sz w:val="20"/>
                <w:szCs w:val="20"/>
              </w:rPr>
            </w:pPr>
            <w:r>
              <w:rPr>
                <w:rFonts w:eastAsia="Times New Roman"/>
                <w:sz w:val="20"/>
                <w:szCs w:val="20"/>
              </w:rPr>
              <w:t> </w:t>
            </w:r>
          </w:p>
        </w:tc>
        <w:tc>
          <w:tcPr>
            <w:tcW w:w="0" w:type="auto"/>
            <w:hideMark/>
          </w:tcPr>
          <w:p w14:paraId="16214FE4" w14:textId="77777777" w:rsidR="003213F2" w:rsidRDefault="009C165D">
            <w:pPr>
              <w:rPr>
                <w:rFonts w:eastAsia="Times New Roman"/>
                <w:sz w:val="20"/>
                <w:szCs w:val="20"/>
              </w:rPr>
            </w:pPr>
            <w:r>
              <w:rPr>
                <w:rFonts w:eastAsia="Times New Roman"/>
                <w:sz w:val="20"/>
                <w:szCs w:val="20"/>
              </w:rPr>
              <w:t> </w:t>
            </w:r>
          </w:p>
        </w:tc>
      </w:tr>
      <w:tr w:rsidR="003213F2" w14:paraId="7A2FF7E3" w14:textId="77777777">
        <w:tc>
          <w:tcPr>
            <w:tcW w:w="0" w:type="auto"/>
            <w:hideMark/>
          </w:tcPr>
          <w:p w14:paraId="584B11FB" w14:textId="50AB3AC2" w:rsidR="003213F2" w:rsidRDefault="009C165D">
            <w:pPr>
              <w:rPr>
                <w:rFonts w:eastAsia="Times New Roman"/>
                <w:sz w:val="20"/>
                <w:szCs w:val="20"/>
              </w:rPr>
            </w:pPr>
            <w:hyperlink r:id="rId4" w:history="1">
              <w:r>
                <w:rPr>
                  <w:rStyle w:val="Hyperlink"/>
                  <w:rFonts w:eastAsia="Times New Roman"/>
                  <w:sz w:val="20"/>
                  <w:szCs w:val="20"/>
                </w:rPr>
                <w:t>99.1</w:t>
              </w:r>
            </w:hyperlink>
          </w:p>
        </w:tc>
        <w:tc>
          <w:tcPr>
            <w:tcW w:w="0" w:type="auto"/>
            <w:vAlign w:val="bottom"/>
            <w:hideMark/>
          </w:tcPr>
          <w:p w14:paraId="52FDB5A1" w14:textId="77777777" w:rsidR="003213F2" w:rsidRDefault="009C165D">
            <w:pPr>
              <w:rPr>
                <w:rFonts w:eastAsia="Times New Roman"/>
                <w:sz w:val="20"/>
                <w:szCs w:val="20"/>
              </w:rPr>
            </w:pPr>
            <w:r>
              <w:rPr>
                <w:rFonts w:eastAsia="Times New Roman"/>
                <w:sz w:val="20"/>
                <w:szCs w:val="20"/>
              </w:rPr>
              <w:t> </w:t>
            </w:r>
          </w:p>
        </w:tc>
        <w:tc>
          <w:tcPr>
            <w:tcW w:w="0" w:type="auto"/>
            <w:hideMark/>
          </w:tcPr>
          <w:p w14:paraId="6A2DCD75" w14:textId="4361CE47" w:rsidR="003213F2" w:rsidRDefault="009C165D">
            <w:pPr>
              <w:rPr>
                <w:rFonts w:eastAsia="Times New Roman"/>
                <w:sz w:val="20"/>
                <w:szCs w:val="20"/>
              </w:rPr>
            </w:pPr>
            <w:hyperlink r:id="rId5" w:history="1">
              <w:r>
                <w:rPr>
                  <w:rStyle w:val="Hyperlink"/>
                  <w:rFonts w:eastAsia="Times New Roman"/>
                  <w:sz w:val="20"/>
                  <w:szCs w:val="20"/>
                </w:rPr>
                <w:t>Press Release, dated June 22, 2026, jointly issued by AbbVie Inc. and Apogee Therapeutics, Inc.</w:t>
              </w:r>
            </w:hyperlink>
          </w:p>
        </w:tc>
      </w:tr>
      <w:tr w:rsidR="003213F2" w14:paraId="454DBB05" w14:textId="77777777">
        <w:tc>
          <w:tcPr>
            <w:tcW w:w="0" w:type="auto"/>
            <w:hideMark/>
          </w:tcPr>
          <w:p w14:paraId="1D45BF5F" w14:textId="14673E76" w:rsidR="003213F2" w:rsidRDefault="009C165D">
            <w:pPr>
              <w:rPr>
                <w:rFonts w:eastAsia="Times New Roman"/>
                <w:sz w:val="20"/>
                <w:szCs w:val="20"/>
              </w:rPr>
            </w:pPr>
            <w:hyperlink r:id="rId6" w:history="1">
              <w:r>
                <w:rPr>
                  <w:rStyle w:val="Hyperlink"/>
                  <w:rFonts w:eastAsia="Times New Roman"/>
                  <w:sz w:val="20"/>
                  <w:szCs w:val="20"/>
                </w:rPr>
                <w:t>99.2</w:t>
              </w:r>
            </w:hyperlink>
          </w:p>
        </w:tc>
        <w:tc>
          <w:tcPr>
            <w:tcW w:w="0" w:type="auto"/>
            <w:vAlign w:val="bottom"/>
            <w:hideMark/>
          </w:tcPr>
          <w:p w14:paraId="17CB5563" w14:textId="77777777" w:rsidR="003213F2" w:rsidRDefault="009C165D">
            <w:pPr>
              <w:rPr>
                <w:rFonts w:eastAsia="Times New Roman"/>
                <w:sz w:val="20"/>
                <w:szCs w:val="20"/>
              </w:rPr>
            </w:pPr>
            <w:r>
              <w:rPr>
                <w:rFonts w:eastAsia="Times New Roman"/>
                <w:sz w:val="20"/>
                <w:szCs w:val="20"/>
              </w:rPr>
              <w:t> </w:t>
            </w:r>
          </w:p>
        </w:tc>
        <w:tc>
          <w:tcPr>
            <w:tcW w:w="0" w:type="auto"/>
            <w:hideMark/>
          </w:tcPr>
          <w:p w14:paraId="6E978171" w14:textId="1AB6BFD8" w:rsidR="003213F2" w:rsidRDefault="009C165D">
            <w:pPr>
              <w:rPr>
                <w:rFonts w:eastAsia="Times New Roman"/>
                <w:sz w:val="20"/>
                <w:szCs w:val="20"/>
              </w:rPr>
            </w:pPr>
            <w:hyperlink r:id="rId7" w:history="1">
              <w:r>
                <w:rPr>
                  <w:rStyle w:val="Hyperlink"/>
                  <w:rFonts w:eastAsia="Times New Roman"/>
                  <w:sz w:val="20"/>
                  <w:szCs w:val="20"/>
                </w:rPr>
                <w:t>Investor Presentation</w:t>
              </w:r>
            </w:hyperlink>
          </w:p>
        </w:tc>
      </w:tr>
      <w:tr w:rsidR="003213F2" w14:paraId="51710819" w14:textId="77777777">
        <w:tc>
          <w:tcPr>
            <w:tcW w:w="0" w:type="auto"/>
            <w:hideMark/>
          </w:tcPr>
          <w:p w14:paraId="520C891B" w14:textId="77777777" w:rsidR="003213F2" w:rsidRDefault="009C165D">
            <w:pPr>
              <w:rPr>
                <w:rFonts w:eastAsia="Times New Roman"/>
                <w:sz w:val="20"/>
                <w:szCs w:val="20"/>
              </w:rPr>
            </w:pPr>
            <w:r>
              <w:rPr>
                <w:rFonts w:eastAsia="Times New Roman"/>
                <w:sz w:val="20"/>
                <w:szCs w:val="20"/>
              </w:rPr>
              <w:t>104</w:t>
            </w:r>
          </w:p>
        </w:tc>
        <w:tc>
          <w:tcPr>
            <w:tcW w:w="0" w:type="auto"/>
            <w:vAlign w:val="bottom"/>
            <w:hideMark/>
          </w:tcPr>
          <w:p w14:paraId="45F4A5ED" w14:textId="77777777" w:rsidR="003213F2" w:rsidRDefault="009C165D">
            <w:pPr>
              <w:rPr>
                <w:rFonts w:eastAsia="Times New Roman"/>
                <w:sz w:val="20"/>
                <w:szCs w:val="20"/>
              </w:rPr>
            </w:pPr>
            <w:r>
              <w:rPr>
                <w:rFonts w:eastAsia="Times New Roman"/>
                <w:sz w:val="20"/>
                <w:szCs w:val="20"/>
              </w:rPr>
              <w:t> </w:t>
            </w:r>
          </w:p>
        </w:tc>
        <w:tc>
          <w:tcPr>
            <w:tcW w:w="0" w:type="auto"/>
            <w:hideMark/>
          </w:tcPr>
          <w:p w14:paraId="558E5C20" w14:textId="77777777" w:rsidR="003213F2" w:rsidRDefault="009C165D">
            <w:pPr>
              <w:rPr>
                <w:rFonts w:eastAsia="Times New Roman"/>
                <w:sz w:val="20"/>
                <w:szCs w:val="20"/>
              </w:rPr>
            </w:pPr>
            <w:r>
              <w:rPr>
                <w:rFonts w:eastAsia="Times New Roman"/>
                <w:sz w:val="20"/>
                <w:szCs w:val="20"/>
              </w:rPr>
              <w:t>The cover page from this Current Report on Form 8-K formatted in Inline XBRL (</w:t>
            </w:r>
            <w:proofErr w:type="gramStart"/>
            <w:r>
              <w:rPr>
                <w:rFonts w:eastAsia="Times New Roman"/>
                <w:sz w:val="20"/>
                <w:szCs w:val="20"/>
              </w:rPr>
              <w:t>included</w:t>
            </w:r>
            <w:proofErr w:type="gramEnd"/>
            <w:r>
              <w:rPr>
                <w:rFonts w:eastAsia="Times New Roman"/>
                <w:sz w:val="20"/>
                <w:szCs w:val="20"/>
              </w:rPr>
              <w:t xml:space="preserve"> as Exhibit 101).</w:t>
            </w:r>
          </w:p>
        </w:tc>
      </w:tr>
    </w:tbl>
    <w:p w14:paraId="78508411" w14:textId="77777777" w:rsidR="003213F2" w:rsidRDefault="009C165D">
      <w:pPr>
        <w:pStyle w:val="NormalWeb"/>
        <w:spacing w:before="0" w:beforeAutospacing="0" w:after="0" w:afterAutospacing="0"/>
        <w:ind w:left="1080" w:hanging="1080"/>
        <w:rPr>
          <w:sz w:val="20"/>
          <w:szCs w:val="20"/>
        </w:rPr>
      </w:pPr>
      <w:r>
        <w:rPr>
          <w:sz w:val="20"/>
          <w:szCs w:val="20"/>
        </w:rPr>
        <w:t> </w:t>
      </w:r>
    </w:p>
    <w:p w14:paraId="43E769FA" w14:textId="77777777" w:rsidR="003213F2" w:rsidRDefault="009C165D">
      <w:pPr>
        <w:pStyle w:val="NormalWeb"/>
        <w:spacing w:before="0" w:beforeAutospacing="0" w:after="0" w:afterAutospacing="0"/>
        <w:divId w:val="592278171"/>
        <w:rPr>
          <w:rFonts w:ascii="Arial" w:hAnsi="Arial" w:cs="Arial"/>
          <w:sz w:val="20"/>
          <w:szCs w:val="20"/>
        </w:rPr>
      </w:pPr>
      <w:r>
        <w:rPr>
          <w:rFonts w:ascii="Arial" w:hAnsi="Arial" w:cs="Arial"/>
          <w:sz w:val="20"/>
          <w:szCs w:val="20"/>
        </w:rPr>
        <w:t> </w:t>
      </w:r>
    </w:p>
    <w:p w14:paraId="1FD96195" w14:textId="77777777" w:rsidR="003213F2" w:rsidRDefault="009C165D">
      <w:pPr>
        <w:pStyle w:val="NormalWeb"/>
        <w:pageBreakBefore/>
        <w:spacing w:before="0" w:beforeAutospacing="0" w:after="0" w:afterAutospacing="0"/>
        <w:divId w:val="1369642086"/>
        <w:rPr>
          <w:rFonts w:ascii="Arial" w:hAnsi="Arial" w:cs="Arial"/>
          <w:sz w:val="20"/>
          <w:szCs w:val="20"/>
        </w:rPr>
      </w:pPr>
      <w:r>
        <w:rPr>
          <w:rFonts w:ascii="Arial" w:hAnsi="Arial" w:cs="Arial"/>
          <w:sz w:val="20"/>
          <w:szCs w:val="20"/>
        </w:rPr>
        <w:lastRenderedPageBreak/>
        <w:t> </w:t>
      </w:r>
    </w:p>
    <w:p w14:paraId="718148B9" w14:textId="77777777" w:rsidR="003213F2" w:rsidRDefault="009C165D">
      <w:pPr>
        <w:pStyle w:val="NormalWeb"/>
        <w:spacing w:before="0" w:beforeAutospacing="0" w:after="0" w:afterAutospacing="0"/>
        <w:ind w:left="1080" w:hanging="1080"/>
        <w:rPr>
          <w:sz w:val="20"/>
          <w:szCs w:val="20"/>
        </w:rPr>
      </w:pPr>
      <w:r>
        <w:rPr>
          <w:sz w:val="20"/>
          <w:szCs w:val="20"/>
        </w:rPr>
        <w:t>  </w:t>
      </w:r>
    </w:p>
    <w:p w14:paraId="07CFD8DF" w14:textId="77777777" w:rsidR="003213F2" w:rsidRDefault="009C165D">
      <w:pPr>
        <w:pStyle w:val="NormalWeb"/>
        <w:spacing w:before="0" w:beforeAutospacing="0" w:after="0" w:afterAutospacing="0"/>
        <w:jc w:val="center"/>
        <w:rPr>
          <w:sz w:val="20"/>
          <w:szCs w:val="20"/>
        </w:rPr>
      </w:pPr>
      <w:r>
        <w:rPr>
          <w:b/>
          <w:bCs/>
          <w:sz w:val="20"/>
          <w:szCs w:val="20"/>
        </w:rPr>
        <w:t>SIGNATURE</w:t>
      </w:r>
    </w:p>
    <w:p w14:paraId="4BBF99A2" w14:textId="77777777" w:rsidR="003213F2" w:rsidRDefault="009C165D">
      <w:pPr>
        <w:pStyle w:val="NormalWeb"/>
        <w:spacing w:before="0" w:beforeAutospacing="0" w:after="0" w:afterAutospacing="0"/>
        <w:rPr>
          <w:sz w:val="20"/>
          <w:szCs w:val="20"/>
        </w:rPr>
      </w:pPr>
      <w:r>
        <w:rPr>
          <w:sz w:val="20"/>
          <w:szCs w:val="20"/>
        </w:rPr>
        <w:t> </w:t>
      </w:r>
    </w:p>
    <w:p w14:paraId="1075C5A7" w14:textId="77777777" w:rsidR="003213F2" w:rsidRDefault="009C165D">
      <w:pPr>
        <w:pStyle w:val="NormalWeb"/>
        <w:spacing w:before="0" w:beforeAutospacing="0" w:after="0" w:afterAutospacing="0"/>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112C5D6E" w14:textId="77777777" w:rsidR="003213F2" w:rsidRDefault="009C165D">
      <w:pPr>
        <w:pStyle w:val="NormalWeb"/>
        <w:spacing w:before="0" w:beforeAutospacing="0" w:after="0" w:afterAutospacing="0"/>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468"/>
        <w:gridCol w:w="4212"/>
        <w:gridCol w:w="468"/>
        <w:gridCol w:w="4212"/>
      </w:tblGrid>
      <w:tr w:rsidR="003213F2" w14:paraId="3270E152" w14:textId="77777777">
        <w:tc>
          <w:tcPr>
            <w:tcW w:w="250" w:type="pct"/>
            <w:hideMark/>
          </w:tcPr>
          <w:p w14:paraId="6E08FC8E" w14:textId="77777777" w:rsidR="003213F2" w:rsidRDefault="009C165D">
            <w:pPr>
              <w:rPr>
                <w:rFonts w:eastAsia="Times New Roman"/>
                <w:sz w:val="20"/>
                <w:szCs w:val="20"/>
              </w:rPr>
            </w:pPr>
            <w:r>
              <w:rPr>
                <w:rFonts w:eastAsia="Times New Roman"/>
                <w:sz w:val="20"/>
                <w:szCs w:val="20"/>
              </w:rPr>
              <w:t> </w:t>
            </w:r>
          </w:p>
        </w:tc>
        <w:tc>
          <w:tcPr>
            <w:tcW w:w="2250" w:type="pct"/>
            <w:vAlign w:val="bottom"/>
            <w:hideMark/>
          </w:tcPr>
          <w:p w14:paraId="69CDCB3F" w14:textId="77777777" w:rsidR="003213F2" w:rsidRDefault="009C165D">
            <w:pPr>
              <w:rPr>
                <w:rFonts w:eastAsia="Times New Roman"/>
                <w:sz w:val="20"/>
                <w:szCs w:val="20"/>
              </w:rPr>
            </w:pPr>
            <w:r>
              <w:rPr>
                <w:rFonts w:eastAsia="Times New Roman"/>
                <w:sz w:val="20"/>
                <w:szCs w:val="20"/>
              </w:rPr>
              <w:t> </w:t>
            </w:r>
          </w:p>
        </w:tc>
        <w:tc>
          <w:tcPr>
            <w:tcW w:w="250" w:type="pct"/>
            <w:hideMark/>
          </w:tcPr>
          <w:p w14:paraId="16FB0CE0" w14:textId="77777777" w:rsidR="003213F2" w:rsidRDefault="009C165D">
            <w:pPr>
              <w:rPr>
                <w:rFonts w:eastAsia="Times New Roman"/>
                <w:sz w:val="20"/>
                <w:szCs w:val="20"/>
              </w:rPr>
            </w:pPr>
            <w:r>
              <w:rPr>
                <w:rFonts w:eastAsia="Times New Roman"/>
                <w:sz w:val="20"/>
                <w:szCs w:val="20"/>
              </w:rPr>
              <w:t> </w:t>
            </w:r>
          </w:p>
        </w:tc>
        <w:tc>
          <w:tcPr>
            <w:tcW w:w="2250" w:type="pct"/>
            <w:hideMark/>
          </w:tcPr>
          <w:p w14:paraId="3829B0D0" w14:textId="77777777" w:rsidR="003213F2" w:rsidRDefault="009C165D">
            <w:pPr>
              <w:rPr>
                <w:rFonts w:eastAsia="Times New Roman"/>
                <w:sz w:val="20"/>
                <w:szCs w:val="20"/>
              </w:rPr>
            </w:pPr>
            <w:r>
              <w:rPr>
                <w:rFonts w:eastAsia="Times New Roman"/>
                <w:b/>
                <w:bCs/>
                <w:sz w:val="20"/>
                <w:szCs w:val="20"/>
              </w:rPr>
              <w:t>ABBVIE INC.</w:t>
            </w:r>
          </w:p>
        </w:tc>
      </w:tr>
      <w:tr w:rsidR="003213F2" w14:paraId="2C1ABE6F" w14:textId="77777777">
        <w:tc>
          <w:tcPr>
            <w:tcW w:w="0" w:type="auto"/>
            <w:hideMark/>
          </w:tcPr>
          <w:p w14:paraId="2F80E4C0" w14:textId="77777777" w:rsidR="003213F2" w:rsidRDefault="009C165D">
            <w:pPr>
              <w:rPr>
                <w:rFonts w:eastAsia="Times New Roman"/>
                <w:sz w:val="20"/>
                <w:szCs w:val="20"/>
              </w:rPr>
            </w:pPr>
            <w:r>
              <w:rPr>
                <w:rFonts w:eastAsia="Times New Roman"/>
                <w:sz w:val="20"/>
                <w:szCs w:val="20"/>
              </w:rPr>
              <w:t> </w:t>
            </w:r>
          </w:p>
        </w:tc>
        <w:tc>
          <w:tcPr>
            <w:tcW w:w="0" w:type="auto"/>
            <w:vAlign w:val="bottom"/>
            <w:hideMark/>
          </w:tcPr>
          <w:p w14:paraId="7ED46B0B" w14:textId="77777777" w:rsidR="003213F2" w:rsidRDefault="009C165D">
            <w:pPr>
              <w:rPr>
                <w:rFonts w:eastAsia="Times New Roman"/>
                <w:sz w:val="20"/>
                <w:szCs w:val="20"/>
              </w:rPr>
            </w:pPr>
            <w:r>
              <w:rPr>
                <w:rFonts w:eastAsia="Times New Roman"/>
                <w:sz w:val="20"/>
                <w:szCs w:val="20"/>
              </w:rPr>
              <w:t> </w:t>
            </w:r>
          </w:p>
        </w:tc>
        <w:tc>
          <w:tcPr>
            <w:tcW w:w="0" w:type="auto"/>
            <w:hideMark/>
          </w:tcPr>
          <w:p w14:paraId="361B8845" w14:textId="77777777" w:rsidR="003213F2" w:rsidRDefault="009C165D">
            <w:pPr>
              <w:rPr>
                <w:rFonts w:eastAsia="Times New Roman"/>
                <w:sz w:val="20"/>
                <w:szCs w:val="20"/>
              </w:rPr>
            </w:pPr>
            <w:r>
              <w:rPr>
                <w:rFonts w:eastAsia="Times New Roman"/>
                <w:sz w:val="20"/>
                <w:szCs w:val="20"/>
              </w:rPr>
              <w:t> </w:t>
            </w:r>
          </w:p>
        </w:tc>
        <w:tc>
          <w:tcPr>
            <w:tcW w:w="0" w:type="auto"/>
            <w:hideMark/>
          </w:tcPr>
          <w:p w14:paraId="5947A1E5" w14:textId="77777777" w:rsidR="003213F2" w:rsidRDefault="009C165D">
            <w:pPr>
              <w:rPr>
                <w:rFonts w:eastAsia="Times New Roman"/>
                <w:sz w:val="20"/>
                <w:szCs w:val="20"/>
              </w:rPr>
            </w:pPr>
            <w:r>
              <w:rPr>
                <w:rFonts w:eastAsia="Times New Roman"/>
                <w:sz w:val="20"/>
                <w:szCs w:val="20"/>
              </w:rPr>
              <w:t> </w:t>
            </w:r>
          </w:p>
        </w:tc>
      </w:tr>
      <w:tr w:rsidR="003213F2" w14:paraId="1252694F" w14:textId="77777777">
        <w:tc>
          <w:tcPr>
            <w:tcW w:w="0" w:type="auto"/>
            <w:vAlign w:val="bottom"/>
            <w:hideMark/>
          </w:tcPr>
          <w:p w14:paraId="190885EA" w14:textId="77777777" w:rsidR="003213F2" w:rsidRDefault="009C165D">
            <w:pPr>
              <w:rPr>
                <w:rFonts w:eastAsia="Times New Roman"/>
                <w:sz w:val="20"/>
                <w:szCs w:val="20"/>
              </w:rPr>
            </w:pPr>
            <w:r>
              <w:rPr>
                <w:rFonts w:eastAsia="Times New Roman"/>
                <w:sz w:val="20"/>
                <w:szCs w:val="20"/>
              </w:rPr>
              <w:t>Date:</w:t>
            </w:r>
          </w:p>
        </w:tc>
        <w:tc>
          <w:tcPr>
            <w:tcW w:w="0" w:type="auto"/>
            <w:vAlign w:val="bottom"/>
            <w:hideMark/>
          </w:tcPr>
          <w:p w14:paraId="77061076" w14:textId="77777777" w:rsidR="003213F2" w:rsidRDefault="009C165D">
            <w:pPr>
              <w:rPr>
                <w:rFonts w:eastAsia="Times New Roman"/>
                <w:sz w:val="20"/>
                <w:szCs w:val="20"/>
              </w:rPr>
            </w:pPr>
            <w:r>
              <w:rPr>
                <w:rFonts w:eastAsia="Times New Roman"/>
                <w:sz w:val="20"/>
                <w:szCs w:val="20"/>
              </w:rPr>
              <w:t>June 22, 2026</w:t>
            </w:r>
          </w:p>
        </w:tc>
        <w:tc>
          <w:tcPr>
            <w:tcW w:w="0" w:type="auto"/>
            <w:hideMark/>
          </w:tcPr>
          <w:p w14:paraId="3EB27062" w14:textId="77777777" w:rsidR="003213F2" w:rsidRDefault="009C165D">
            <w:pPr>
              <w:rPr>
                <w:rFonts w:eastAsia="Times New Roman"/>
                <w:sz w:val="20"/>
                <w:szCs w:val="20"/>
              </w:rPr>
            </w:pPr>
            <w:r>
              <w:rPr>
                <w:rFonts w:eastAsia="Times New Roman"/>
                <w:sz w:val="20"/>
                <w:szCs w:val="20"/>
              </w:rPr>
              <w:t>By:</w:t>
            </w:r>
          </w:p>
        </w:tc>
        <w:tc>
          <w:tcPr>
            <w:tcW w:w="0" w:type="auto"/>
            <w:tcBorders>
              <w:bottom w:val="single" w:sz="8" w:space="0" w:color="000000"/>
            </w:tcBorders>
            <w:hideMark/>
          </w:tcPr>
          <w:p w14:paraId="5E8E40A2" w14:textId="77777777" w:rsidR="003213F2" w:rsidRDefault="009C165D">
            <w:pPr>
              <w:rPr>
                <w:rFonts w:eastAsia="Times New Roman"/>
                <w:sz w:val="20"/>
                <w:szCs w:val="20"/>
              </w:rPr>
            </w:pPr>
            <w:r>
              <w:rPr>
                <w:rFonts w:eastAsia="Times New Roman"/>
                <w:sz w:val="20"/>
                <w:szCs w:val="20"/>
              </w:rPr>
              <w:t>/s/ Scott T. Reents</w:t>
            </w:r>
          </w:p>
        </w:tc>
      </w:tr>
      <w:tr w:rsidR="003213F2" w14:paraId="01DF831D" w14:textId="77777777">
        <w:tc>
          <w:tcPr>
            <w:tcW w:w="0" w:type="auto"/>
            <w:hideMark/>
          </w:tcPr>
          <w:p w14:paraId="7E9EC919" w14:textId="77777777" w:rsidR="003213F2" w:rsidRDefault="009C165D">
            <w:pPr>
              <w:rPr>
                <w:rFonts w:eastAsia="Times New Roman"/>
                <w:sz w:val="20"/>
                <w:szCs w:val="20"/>
              </w:rPr>
            </w:pPr>
            <w:r>
              <w:rPr>
                <w:rFonts w:eastAsia="Times New Roman"/>
                <w:sz w:val="20"/>
                <w:szCs w:val="20"/>
              </w:rPr>
              <w:t> </w:t>
            </w:r>
          </w:p>
        </w:tc>
        <w:tc>
          <w:tcPr>
            <w:tcW w:w="0" w:type="auto"/>
            <w:vAlign w:val="bottom"/>
            <w:hideMark/>
          </w:tcPr>
          <w:p w14:paraId="2C95B646" w14:textId="77777777" w:rsidR="003213F2" w:rsidRDefault="009C165D">
            <w:pPr>
              <w:rPr>
                <w:rFonts w:eastAsia="Times New Roman"/>
                <w:sz w:val="20"/>
                <w:szCs w:val="20"/>
              </w:rPr>
            </w:pPr>
            <w:r>
              <w:rPr>
                <w:rFonts w:eastAsia="Times New Roman"/>
                <w:sz w:val="20"/>
                <w:szCs w:val="20"/>
              </w:rPr>
              <w:t> </w:t>
            </w:r>
          </w:p>
        </w:tc>
        <w:tc>
          <w:tcPr>
            <w:tcW w:w="0" w:type="auto"/>
            <w:hideMark/>
          </w:tcPr>
          <w:p w14:paraId="067E6E61" w14:textId="77777777" w:rsidR="003213F2" w:rsidRDefault="009C165D">
            <w:pPr>
              <w:rPr>
                <w:rFonts w:eastAsia="Times New Roman"/>
                <w:sz w:val="20"/>
                <w:szCs w:val="20"/>
              </w:rPr>
            </w:pPr>
            <w:r>
              <w:rPr>
                <w:rFonts w:eastAsia="Times New Roman"/>
                <w:sz w:val="20"/>
                <w:szCs w:val="20"/>
              </w:rPr>
              <w:t> </w:t>
            </w:r>
          </w:p>
        </w:tc>
        <w:tc>
          <w:tcPr>
            <w:tcW w:w="0" w:type="auto"/>
            <w:hideMark/>
          </w:tcPr>
          <w:p w14:paraId="3B5D35A3" w14:textId="77777777" w:rsidR="003213F2" w:rsidRDefault="009C165D">
            <w:pPr>
              <w:rPr>
                <w:rFonts w:eastAsia="Times New Roman"/>
                <w:sz w:val="20"/>
                <w:szCs w:val="20"/>
              </w:rPr>
            </w:pPr>
            <w:r>
              <w:rPr>
                <w:rFonts w:eastAsia="Times New Roman"/>
                <w:sz w:val="20"/>
                <w:szCs w:val="20"/>
              </w:rPr>
              <w:t>Scott T. Reents</w:t>
            </w:r>
          </w:p>
        </w:tc>
      </w:tr>
      <w:tr w:rsidR="003213F2" w14:paraId="5CCEEE93" w14:textId="77777777">
        <w:tc>
          <w:tcPr>
            <w:tcW w:w="0" w:type="auto"/>
            <w:hideMark/>
          </w:tcPr>
          <w:p w14:paraId="76B59B4A" w14:textId="77777777" w:rsidR="003213F2" w:rsidRDefault="009C165D">
            <w:pPr>
              <w:rPr>
                <w:rFonts w:eastAsia="Times New Roman"/>
                <w:sz w:val="20"/>
                <w:szCs w:val="20"/>
              </w:rPr>
            </w:pPr>
            <w:r>
              <w:rPr>
                <w:rFonts w:eastAsia="Times New Roman"/>
                <w:sz w:val="20"/>
                <w:szCs w:val="20"/>
              </w:rPr>
              <w:t> </w:t>
            </w:r>
          </w:p>
        </w:tc>
        <w:tc>
          <w:tcPr>
            <w:tcW w:w="0" w:type="auto"/>
            <w:vAlign w:val="bottom"/>
            <w:hideMark/>
          </w:tcPr>
          <w:p w14:paraId="30136916" w14:textId="77777777" w:rsidR="003213F2" w:rsidRDefault="009C165D">
            <w:pPr>
              <w:rPr>
                <w:rFonts w:eastAsia="Times New Roman"/>
                <w:sz w:val="20"/>
                <w:szCs w:val="20"/>
              </w:rPr>
            </w:pPr>
            <w:r>
              <w:rPr>
                <w:rFonts w:eastAsia="Times New Roman"/>
                <w:sz w:val="20"/>
                <w:szCs w:val="20"/>
              </w:rPr>
              <w:t> </w:t>
            </w:r>
          </w:p>
        </w:tc>
        <w:tc>
          <w:tcPr>
            <w:tcW w:w="0" w:type="auto"/>
            <w:hideMark/>
          </w:tcPr>
          <w:p w14:paraId="73B33D7E" w14:textId="77777777" w:rsidR="003213F2" w:rsidRDefault="009C165D">
            <w:pPr>
              <w:rPr>
                <w:rFonts w:eastAsia="Times New Roman"/>
                <w:sz w:val="20"/>
                <w:szCs w:val="20"/>
              </w:rPr>
            </w:pPr>
            <w:r>
              <w:rPr>
                <w:rFonts w:eastAsia="Times New Roman"/>
                <w:sz w:val="20"/>
                <w:szCs w:val="20"/>
              </w:rPr>
              <w:t> </w:t>
            </w:r>
          </w:p>
        </w:tc>
        <w:tc>
          <w:tcPr>
            <w:tcW w:w="0" w:type="auto"/>
            <w:hideMark/>
          </w:tcPr>
          <w:p w14:paraId="3E4AF612" w14:textId="77777777" w:rsidR="003213F2" w:rsidRDefault="009C165D">
            <w:pPr>
              <w:rPr>
                <w:rFonts w:eastAsia="Times New Roman"/>
                <w:sz w:val="20"/>
                <w:szCs w:val="20"/>
              </w:rPr>
            </w:pPr>
            <w:r>
              <w:rPr>
                <w:rFonts w:eastAsia="Times New Roman"/>
                <w:sz w:val="20"/>
                <w:szCs w:val="20"/>
              </w:rPr>
              <w:t>Executive Vice President, Chief Financial Officer</w:t>
            </w:r>
          </w:p>
        </w:tc>
      </w:tr>
    </w:tbl>
    <w:p w14:paraId="09A355AC" w14:textId="77777777" w:rsidR="003213F2" w:rsidRDefault="009C165D">
      <w:pPr>
        <w:pStyle w:val="NormalWeb"/>
        <w:spacing w:before="0" w:beforeAutospacing="0" w:after="0" w:afterAutospacing="0"/>
        <w:rPr>
          <w:sz w:val="20"/>
          <w:szCs w:val="20"/>
        </w:rPr>
      </w:pPr>
      <w:r>
        <w:rPr>
          <w:sz w:val="20"/>
          <w:szCs w:val="20"/>
        </w:rPr>
        <w:t> </w:t>
      </w:r>
    </w:p>
    <w:p w14:paraId="5A1A59E9" w14:textId="77777777" w:rsidR="003213F2" w:rsidRDefault="009C165D">
      <w:pPr>
        <w:pStyle w:val="NormalWeb"/>
        <w:spacing w:before="0" w:beforeAutospacing="0" w:after="0" w:afterAutospacing="0"/>
        <w:divId w:val="743911979"/>
        <w:rPr>
          <w:rFonts w:ascii="Arial" w:hAnsi="Arial" w:cs="Arial"/>
          <w:sz w:val="20"/>
          <w:szCs w:val="20"/>
        </w:rPr>
      </w:pPr>
      <w:r>
        <w:rPr>
          <w:rFonts w:ascii="Arial" w:hAnsi="Arial" w:cs="Arial"/>
          <w:sz w:val="20"/>
          <w:szCs w:val="20"/>
        </w:rPr>
        <w:t> </w:t>
      </w:r>
    </w:p>
    <w:p w14:paraId="3FF822DA" w14:textId="77777777" w:rsidR="003213F2" w:rsidRDefault="009C165D">
      <w:pPr>
        <w:pStyle w:val="NormalWeb"/>
        <w:pageBreakBefore/>
        <w:spacing w:before="0" w:beforeAutospacing="0" w:after="0" w:afterAutospacing="0"/>
        <w:divId w:val="844201331"/>
        <w:rPr>
          <w:rFonts w:ascii="Arial" w:hAnsi="Arial" w:cs="Arial"/>
          <w:sz w:val="20"/>
          <w:szCs w:val="20"/>
        </w:rPr>
      </w:pPr>
      <w:r>
        <w:rPr>
          <w:rFonts w:ascii="Arial" w:hAnsi="Arial" w:cs="Arial"/>
          <w:sz w:val="20"/>
          <w:szCs w:val="20"/>
        </w:rPr>
        <w:lastRenderedPageBreak/>
        <w:t> </w:t>
      </w:r>
    </w:p>
    <w:p w14:paraId="2D5DCB8E" w14:textId="77777777" w:rsidR="003213F2" w:rsidRDefault="009C165D">
      <w:pPr>
        <w:pStyle w:val="NormalWeb"/>
        <w:spacing w:before="0" w:beforeAutospacing="0" w:after="0" w:afterAutospacing="0"/>
        <w:rPr>
          <w:rFonts w:ascii="Arial" w:hAnsi="Arial" w:cs="Arial"/>
          <w:sz w:val="20"/>
          <w:szCs w:val="20"/>
        </w:rPr>
      </w:pPr>
      <w:r>
        <w:rPr>
          <w:b/>
          <w:bCs/>
          <w:sz w:val="20"/>
          <w:szCs w:val="20"/>
        </w:rPr>
        <w:t> </w:t>
      </w:r>
    </w:p>
    <w:p w14:paraId="0256CF92" w14:textId="77777777" w:rsidR="003213F2" w:rsidRDefault="009C165D">
      <w:pPr>
        <w:pStyle w:val="NormalWeb"/>
        <w:spacing w:before="0" w:beforeAutospacing="0" w:after="0" w:afterAutospacing="0"/>
        <w:jc w:val="right"/>
        <w:rPr>
          <w:rFonts w:ascii="Arial" w:hAnsi="Arial" w:cs="Arial"/>
          <w:sz w:val="20"/>
          <w:szCs w:val="20"/>
        </w:rPr>
      </w:pPr>
      <w:r>
        <w:rPr>
          <w:b/>
          <w:bCs/>
          <w:sz w:val="20"/>
          <w:szCs w:val="20"/>
        </w:rPr>
        <w:t>Exhibit 99.1</w:t>
      </w:r>
    </w:p>
    <w:p w14:paraId="5765C45E" w14:textId="77777777" w:rsidR="003213F2" w:rsidRDefault="009C165D">
      <w:pPr>
        <w:pStyle w:val="NormalWeb"/>
        <w:spacing w:before="0" w:beforeAutospacing="0" w:after="0" w:afterAutospacing="0"/>
        <w:rPr>
          <w:sz w:val="28"/>
          <w:szCs w:val="28"/>
        </w:rPr>
      </w:pPr>
      <w:r>
        <w:rPr>
          <w:sz w:val="28"/>
          <w:szCs w:val="28"/>
        </w:rPr>
        <w:t> </w:t>
      </w:r>
      <w:r>
        <w:rPr>
          <w:noProof/>
          <w:sz w:val="28"/>
          <w:szCs w:val="28"/>
        </w:rPr>
        <w:drawing>
          <wp:inline distT="0" distB="0" distL="0" distR="0" wp14:anchorId="720F9094" wp14:editId="760682E5">
            <wp:extent cx="1371600" cy="333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p>
    <w:p w14:paraId="762B2A0E" w14:textId="77777777" w:rsidR="003213F2" w:rsidRDefault="009C165D">
      <w:pPr>
        <w:pStyle w:val="NormalWeb"/>
        <w:spacing w:before="0" w:beforeAutospacing="0" w:after="0" w:afterAutospacing="0"/>
        <w:rPr>
          <w:sz w:val="28"/>
          <w:szCs w:val="28"/>
        </w:rPr>
      </w:pPr>
      <w:r>
        <w:rPr>
          <w:sz w:val="20"/>
          <w:szCs w:val="20"/>
        </w:rPr>
        <w:t> </w:t>
      </w:r>
    </w:p>
    <w:p w14:paraId="70F95F1B" w14:textId="77777777" w:rsidR="003213F2" w:rsidRDefault="009C165D">
      <w:pPr>
        <w:pStyle w:val="NormalWeb"/>
        <w:spacing w:before="0" w:beforeAutospacing="0" w:after="0" w:afterAutospacing="0"/>
        <w:rPr>
          <w:sz w:val="28"/>
          <w:szCs w:val="28"/>
        </w:rPr>
      </w:pPr>
      <w:r>
        <w:rPr>
          <w:b/>
          <w:bCs/>
          <w:sz w:val="20"/>
          <w:szCs w:val="20"/>
        </w:rPr>
        <w:t xml:space="preserve">AbbVie to Acquire Apogee Therapeutics, Deepening Immunology Portfolio </w:t>
      </w:r>
    </w:p>
    <w:p w14:paraId="29C2911C" w14:textId="77777777" w:rsidR="003213F2" w:rsidRDefault="009C165D">
      <w:pPr>
        <w:pStyle w:val="NormalWeb"/>
        <w:spacing w:before="0" w:beforeAutospacing="0" w:after="0" w:afterAutospacing="0"/>
        <w:rPr>
          <w:sz w:val="20"/>
          <w:szCs w:val="20"/>
        </w:rPr>
      </w:pPr>
      <w:r>
        <w:rPr>
          <w:b/>
          <w:bCs/>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360"/>
        <w:gridCol w:w="360"/>
        <w:gridCol w:w="8640"/>
      </w:tblGrid>
      <w:tr w:rsidR="003213F2" w14:paraId="667923AE" w14:textId="77777777">
        <w:trPr>
          <w:tblCellSpacing w:w="0" w:type="dxa"/>
        </w:trPr>
        <w:tc>
          <w:tcPr>
            <w:tcW w:w="360" w:type="dxa"/>
            <w:hideMark/>
          </w:tcPr>
          <w:p w14:paraId="2845B438" w14:textId="77777777" w:rsidR="003213F2" w:rsidRDefault="003213F2">
            <w:pPr>
              <w:rPr>
                <w:sz w:val="20"/>
                <w:szCs w:val="20"/>
              </w:rPr>
            </w:pPr>
          </w:p>
        </w:tc>
        <w:tc>
          <w:tcPr>
            <w:tcW w:w="360" w:type="dxa"/>
            <w:hideMark/>
          </w:tcPr>
          <w:p w14:paraId="151F820B" w14:textId="77777777" w:rsidR="003213F2" w:rsidRDefault="009C165D">
            <w:pPr>
              <w:rPr>
                <w:rFonts w:eastAsia="Times New Roman"/>
                <w:sz w:val="20"/>
                <w:szCs w:val="20"/>
              </w:rPr>
            </w:pPr>
            <w:r>
              <w:rPr>
                <w:rFonts w:ascii="Symbol" w:eastAsia="Times New Roman" w:hAnsi="Symbol"/>
                <w:sz w:val="20"/>
                <w:szCs w:val="20"/>
              </w:rPr>
              <w:t>·</w:t>
            </w:r>
          </w:p>
        </w:tc>
        <w:tc>
          <w:tcPr>
            <w:tcW w:w="0" w:type="auto"/>
            <w:hideMark/>
          </w:tcPr>
          <w:p w14:paraId="74CC8E39" w14:textId="77777777" w:rsidR="003213F2" w:rsidRDefault="009C165D">
            <w:pPr>
              <w:rPr>
                <w:rFonts w:eastAsia="Times New Roman"/>
                <w:sz w:val="20"/>
                <w:szCs w:val="20"/>
              </w:rPr>
            </w:pPr>
            <w:r>
              <w:rPr>
                <w:rFonts w:eastAsia="Times New Roman"/>
                <w:sz w:val="20"/>
                <w:szCs w:val="20"/>
              </w:rPr>
              <w:t>Proposed acquisition adds a diverse pipeline of assets focused on elevating the standard of care for patients with dermatologic, respiratory and other related inflammatory and immunological diseases</w:t>
            </w:r>
          </w:p>
        </w:tc>
      </w:tr>
    </w:tbl>
    <w:p w14:paraId="505AB788" w14:textId="77777777" w:rsidR="003213F2" w:rsidRDefault="003213F2">
      <w:pPr>
        <w:rPr>
          <w:rFonts w:ascii="Arial" w:eastAsia="Times New Roman" w:hAnsi="Arial"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360"/>
        <w:gridCol w:w="360"/>
        <w:gridCol w:w="8640"/>
      </w:tblGrid>
      <w:tr w:rsidR="003213F2" w14:paraId="2DD03440" w14:textId="77777777">
        <w:trPr>
          <w:tblCellSpacing w:w="0" w:type="dxa"/>
        </w:trPr>
        <w:tc>
          <w:tcPr>
            <w:tcW w:w="360" w:type="dxa"/>
            <w:hideMark/>
          </w:tcPr>
          <w:p w14:paraId="433FB6C5" w14:textId="77777777" w:rsidR="003213F2" w:rsidRDefault="003213F2">
            <w:pPr>
              <w:rPr>
                <w:rFonts w:ascii="Arial" w:eastAsia="Times New Roman" w:hAnsi="Arial" w:cs="Arial"/>
                <w:sz w:val="20"/>
                <w:szCs w:val="20"/>
              </w:rPr>
            </w:pPr>
          </w:p>
        </w:tc>
        <w:tc>
          <w:tcPr>
            <w:tcW w:w="360" w:type="dxa"/>
            <w:hideMark/>
          </w:tcPr>
          <w:p w14:paraId="7E537FA6" w14:textId="77777777" w:rsidR="003213F2" w:rsidRDefault="009C165D">
            <w:pPr>
              <w:rPr>
                <w:rFonts w:eastAsia="Times New Roman"/>
                <w:sz w:val="20"/>
                <w:szCs w:val="20"/>
              </w:rPr>
            </w:pPr>
            <w:r>
              <w:rPr>
                <w:rFonts w:ascii="Symbol" w:eastAsia="Times New Roman" w:hAnsi="Symbol"/>
                <w:sz w:val="20"/>
                <w:szCs w:val="20"/>
              </w:rPr>
              <w:t>·</w:t>
            </w:r>
          </w:p>
        </w:tc>
        <w:tc>
          <w:tcPr>
            <w:tcW w:w="0" w:type="auto"/>
            <w:hideMark/>
          </w:tcPr>
          <w:p w14:paraId="64550C92" w14:textId="77777777" w:rsidR="003213F2" w:rsidRDefault="009C165D">
            <w:pPr>
              <w:rPr>
                <w:rFonts w:eastAsia="Times New Roman"/>
                <w:sz w:val="20"/>
                <w:szCs w:val="20"/>
              </w:rPr>
            </w:pPr>
            <w:r>
              <w:rPr>
                <w:rFonts w:eastAsia="Times New Roman"/>
                <w:sz w:val="20"/>
                <w:szCs w:val="20"/>
              </w:rPr>
              <w:t xml:space="preserve">Apogee's lead asset, </w:t>
            </w:r>
            <w:proofErr w:type="spellStart"/>
            <w:r>
              <w:rPr>
                <w:rFonts w:eastAsia="Times New Roman"/>
                <w:sz w:val="20"/>
                <w:szCs w:val="20"/>
              </w:rPr>
              <w:t>zumilokibart</w:t>
            </w:r>
            <w:proofErr w:type="spellEnd"/>
            <w:r>
              <w:rPr>
                <w:rFonts w:eastAsia="Times New Roman"/>
                <w:sz w:val="20"/>
                <w:szCs w:val="20"/>
              </w:rPr>
              <w:t xml:space="preserve"> (APG777), is a late-stage, half-life extended monoclonal antibody targeting IL-13, in development for patients with atopic dermatitis</w:t>
            </w:r>
          </w:p>
        </w:tc>
      </w:tr>
    </w:tbl>
    <w:p w14:paraId="277154B7" w14:textId="77777777" w:rsidR="003213F2" w:rsidRDefault="003213F2">
      <w:pPr>
        <w:rPr>
          <w:rFonts w:ascii="Arial" w:eastAsia="Times New Roman" w:hAnsi="Arial"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360"/>
        <w:gridCol w:w="360"/>
        <w:gridCol w:w="8640"/>
      </w:tblGrid>
      <w:tr w:rsidR="003213F2" w14:paraId="2252D2A2" w14:textId="77777777">
        <w:trPr>
          <w:tblCellSpacing w:w="0" w:type="dxa"/>
        </w:trPr>
        <w:tc>
          <w:tcPr>
            <w:tcW w:w="360" w:type="dxa"/>
            <w:hideMark/>
          </w:tcPr>
          <w:p w14:paraId="41CBC5AD" w14:textId="77777777" w:rsidR="003213F2" w:rsidRDefault="003213F2">
            <w:pPr>
              <w:rPr>
                <w:rFonts w:ascii="Arial" w:eastAsia="Times New Roman" w:hAnsi="Arial" w:cs="Arial"/>
                <w:sz w:val="20"/>
                <w:szCs w:val="20"/>
              </w:rPr>
            </w:pPr>
          </w:p>
        </w:tc>
        <w:tc>
          <w:tcPr>
            <w:tcW w:w="360" w:type="dxa"/>
            <w:hideMark/>
          </w:tcPr>
          <w:p w14:paraId="416B457B" w14:textId="77777777" w:rsidR="003213F2" w:rsidRDefault="009C165D">
            <w:pPr>
              <w:rPr>
                <w:rFonts w:eastAsia="Times New Roman"/>
                <w:sz w:val="20"/>
                <w:szCs w:val="20"/>
              </w:rPr>
            </w:pPr>
            <w:r>
              <w:rPr>
                <w:rFonts w:ascii="Symbol" w:eastAsia="Times New Roman" w:hAnsi="Symbol"/>
                <w:sz w:val="20"/>
                <w:szCs w:val="20"/>
              </w:rPr>
              <w:t>·</w:t>
            </w:r>
          </w:p>
        </w:tc>
        <w:tc>
          <w:tcPr>
            <w:tcW w:w="0" w:type="auto"/>
            <w:hideMark/>
          </w:tcPr>
          <w:p w14:paraId="4B554C09" w14:textId="77777777" w:rsidR="003213F2" w:rsidRDefault="009C165D">
            <w:pPr>
              <w:rPr>
                <w:rFonts w:eastAsia="Times New Roman"/>
                <w:sz w:val="20"/>
                <w:szCs w:val="20"/>
              </w:rPr>
            </w:pPr>
            <w:r>
              <w:rPr>
                <w:rFonts w:eastAsia="Times New Roman"/>
                <w:sz w:val="20"/>
                <w:szCs w:val="20"/>
              </w:rPr>
              <w:t xml:space="preserve">Apogee’s pipeline also includes combinations of its novel antibodies; APG273, a potential best-in-category long-acting combination targeting IL-13 and thymic stromal lymphopoietin (TSLP), is being developed in asthma </w:t>
            </w:r>
          </w:p>
        </w:tc>
      </w:tr>
    </w:tbl>
    <w:p w14:paraId="5E6750C4" w14:textId="77777777" w:rsidR="003213F2" w:rsidRDefault="003213F2">
      <w:pPr>
        <w:rPr>
          <w:rFonts w:ascii="Arial" w:eastAsia="Times New Roman" w:hAnsi="Arial"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360"/>
        <w:gridCol w:w="360"/>
        <w:gridCol w:w="8640"/>
      </w:tblGrid>
      <w:tr w:rsidR="003213F2" w14:paraId="1FEC8A88" w14:textId="77777777">
        <w:trPr>
          <w:tblCellSpacing w:w="0" w:type="dxa"/>
        </w:trPr>
        <w:tc>
          <w:tcPr>
            <w:tcW w:w="360" w:type="dxa"/>
            <w:hideMark/>
          </w:tcPr>
          <w:p w14:paraId="3C9246B8" w14:textId="77777777" w:rsidR="003213F2" w:rsidRDefault="003213F2">
            <w:pPr>
              <w:rPr>
                <w:rFonts w:ascii="Arial" w:eastAsia="Times New Roman" w:hAnsi="Arial" w:cs="Arial"/>
                <w:sz w:val="20"/>
                <w:szCs w:val="20"/>
              </w:rPr>
            </w:pPr>
          </w:p>
        </w:tc>
        <w:tc>
          <w:tcPr>
            <w:tcW w:w="360" w:type="dxa"/>
            <w:hideMark/>
          </w:tcPr>
          <w:p w14:paraId="52AFE0AD" w14:textId="77777777" w:rsidR="003213F2" w:rsidRDefault="009C165D">
            <w:pPr>
              <w:rPr>
                <w:rFonts w:eastAsia="Times New Roman"/>
                <w:sz w:val="20"/>
                <w:szCs w:val="20"/>
              </w:rPr>
            </w:pPr>
            <w:r>
              <w:rPr>
                <w:rFonts w:ascii="Symbol" w:eastAsia="Times New Roman" w:hAnsi="Symbol"/>
                <w:sz w:val="20"/>
                <w:szCs w:val="20"/>
              </w:rPr>
              <w:t>·</w:t>
            </w:r>
          </w:p>
        </w:tc>
        <w:tc>
          <w:tcPr>
            <w:tcW w:w="0" w:type="auto"/>
            <w:hideMark/>
          </w:tcPr>
          <w:p w14:paraId="404B32E6" w14:textId="77777777" w:rsidR="003213F2" w:rsidRDefault="009C165D">
            <w:pPr>
              <w:rPr>
                <w:rFonts w:eastAsia="Times New Roman"/>
                <w:sz w:val="20"/>
                <w:szCs w:val="20"/>
              </w:rPr>
            </w:pPr>
            <w:r>
              <w:rPr>
                <w:rFonts w:eastAsia="Times New Roman"/>
                <w:sz w:val="20"/>
                <w:szCs w:val="20"/>
              </w:rPr>
              <w:t>Apogee shareholders to receive $135.11 per share in cash, for a total equity value of approximately $10.9 billion</w:t>
            </w:r>
          </w:p>
        </w:tc>
      </w:tr>
    </w:tbl>
    <w:p w14:paraId="508B493D" w14:textId="77777777" w:rsidR="003213F2" w:rsidRDefault="003213F2">
      <w:pPr>
        <w:rPr>
          <w:rFonts w:ascii="Arial" w:eastAsia="Times New Roman" w:hAnsi="Arial" w:cs="Arial"/>
          <w:vanish/>
          <w:sz w:val="20"/>
          <w:szCs w:val="20"/>
        </w:rPr>
      </w:pPr>
    </w:p>
    <w:tbl>
      <w:tblPr>
        <w:tblW w:w="5000" w:type="pct"/>
        <w:tblCellSpacing w:w="0" w:type="dxa"/>
        <w:tblCellMar>
          <w:left w:w="0" w:type="dxa"/>
          <w:right w:w="0" w:type="dxa"/>
        </w:tblCellMar>
        <w:tblLook w:val="04A0" w:firstRow="1" w:lastRow="0" w:firstColumn="1" w:lastColumn="0" w:noHBand="0" w:noVBand="1"/>
      </w:tblPr>
      <w:tblGrid>
        <w:gridCol w:w="360"/>
        <w:gridCol w:w="360"/>
        <w:gridCol w:w="8640"/>
      </w:tblGrid>
      <w:tr w:rsidR="003213F2" w14:paraId="3A3F289C" w14:textId="77777777">
        <w:trPr>
          <w:tblCellSpacing w:w="0" w:type="dxa"/>
        </w:trPr>
        <w:tc>
          <w:tcPr>
            <w:tcW w:w="360" w:type="dxa"/>
            <w:hideMark/>
          </w:tcPr>
          <w:p w14:paraId="0A858E18" w14:textId="77777777" w:rsidR="003213F2" w:rsidRDefault="003213F2">
            <w:pPr>
              <w:rPr>
                <w:rFonts w:ascii="Arial" w:eastAsia="Times New Roman" w:hAnsi="Arial" w:cs="Arial"/>
                <w:sz w:val="20"/>
                <w:szCs w:val="20"/>
              </w:rPr>
            </w:pPr>
          </w:p>
        </w:tc>
        <w:tc>
          <w:tcPr>
            <w:tcW w:w="360" w:type="dxa"/>
            <w:hideMark/>
          </w:tcPr>
          <w:p w14:paraId="40A8D588" w14:textId="77777777" w:rsidR="003213F2" w:rsidRDefault="009C165D">
            <w:pPr>
              <w:rPr>
                <w:rFonts w:eastAsia="Times New Roman"/>
                <w:sz w:val="20"/>
                <w:szCs w:val="20"/>
              </w:rPr>
            </w:pPr>
            <w:r>
              <w:rPr>
                <w:rFonts w:ascii="Symbol" w:eastAsia="Times New Roman" w:hAnsi="Symbol"/>
                <w:sz w:val="20"/>
                <w:szCs w:val="20"/>
              </w:rPr>
              <w:t>·</w:t>
            </w:r>
          </w:p>
        </w:tc>
        <w:tc>
          <w:tcPr>
            <w:tcW w:w="0" w:type="auto"/>
            <w:hideMark/>
          </w:tcPr>
          <w:p w14:paraId="28149FB2" w14:textId="77777777" w:rsidR="003213F2" w:rsidRDefault="009C165D">
            <w:pPr>
              <w:rPr>
                <w:rFonts w:eastAsia="Times New Roman"/>
                <w:sz w:val="20"/>
                <w:szCs w:val="20"/>
              </w:rPr>
            </w:pPr>
            <w:r>
              <w:rPr>
                <w:rFonts w:eastAsia="Times New Roman"/>
                <w:sz w:val="20"/>
                <w:szCs w:val="20"/>
              </w:rPr>
              <w:t>AbbVie to hold investor conference call today, June 22, at 8:00 a.m. CT</w:t>
            </w:r>
          </w:p>
        </w:tc>
      </w:tr>
    </w:tbl>
    <w:p w14:paraId="2405C450" w14:textId="77777777" w:rsidR="003213F2" w:rsidRDefault="009C165D">
      <w:pPr>
        <w:pStyle w:val="NormalWeb"/>
        <w:spacing w:before="0" w:beforeAutospacing="0" w:after="0" w:afterAutospacing="0"/>
        <w:rPr>
          <w:sz w:val="20"/>
          <w:szCs w:val="20"/>
        </w:rPr>
      </w:pPr>
      <w:r>
        <w:rPr>
          <w:b/>
          <w:bCs/>
          <w:sz w:val="20"/>
          <w:szCs w:val="20"/>
        </w:rPr>
        <w:t> </w:t>
      </w:r>
    </w:p>
    <w:p w14:paraId="0C48EA29" w14:textId="77777777" w:rsidR="003213F2" w:rsidRDefault="009C165D">
      <w:pPr>
        <w:pStyle w:val="NormalWeb"/>
        <w:spacing w:before="0" w:beforeAutospacing="0" w:after="0" w:afterAutospacing="0"/>
        <w:rPr>
          <w:sz w:val="20"/>
          <w:szCs w:val="20"/>
        </w:rPr>
      </w:pPr>
      <w:r>
        <w:rPr>
          <w:b/>
          <w:bCs/>
          <w:sz w:val="20"/>
          <w:szCs w:val="20"/>
        </w:rPr>
        <w:t>NORTH CHICAGO, Ill., SAN FRANCISCO and BOSTON, June 22, 2026</w:t>
      </w:r>
      <w:r>
        <w:rPr>
          <w:sz w:val="20"/>
          <w:szCs w:val="20"/>
        </w:rPr>
        <w:t xml:space="preserve"> – AbbVie (NYSE: ABBV) and Apogee Therapeutics (NASDAQ: APGE) (“Apogee”) today announced they have entered into a definitive agreement under which AbbVie will acquire Apogee and its diverse pipeline of multiple clinical-stage candidates in development across inflammatory and immunological diseases, including atopic dermatitis (AD) and asthma. The acquisition complements AbbVie's existing immunology portfolio and accelerates AbbVie’s clinical presence in the respiratory space.</w:t>
      </w:r>
    </w:p>
    <w:p w14:paraId="644BEA1A" w14:textId="77777777" w:rsidR="003213F2" w:rsidRDefault="009C165D">
      <w:pPr>
        <w:pStyle w:val="NormalWeb"/>
        <w:spacing w:before="0" w:beforeAutospacing="0" w:after="0" w:afterAutospacing="0"/>
        <w:rPr>
          <w:sz w:val="20"/>
          <w:szCs w:val="20"/>
        </w:rPr>
      </w:pPr>
      <w:r>
        <w:rPr>
          <w:sz w:val="20"/>
          <w:szCs w:val="20"/>
        </w:rPr>
        <w:t> </w:t>
      </w:r>
    </w:p>
    <w:p w14:paraId="4F60E506" w14:textId="77777777" w:rsidR="003213F2" w:rsidRDefault="009C165D">
      <w:pPr>
        <w:pStyle w:val="NormalWeb"/>
        <w:spacing w:before="0" w:beforeAutospacing="0" w:after="0" w:afterAutospacing="0"/>
        <w:rPr>
          <w:sz w:val="20"/>
          <w:szCs w:val="20"/>
        </w:rPr>
      </w:pPr>
      <w:r>
        <w:rPr>
          <w:sz w:val="20"/>
          <w:szCs w:val="20"/>
        </w:rPr>
        <w:t>Under the terms of the transaction, AbbVie will acquire all outstanding shares of Apogee for $135.11 per share in cash. The transaction values Apogee at a total equity value of approximately $10.9 billion. The boards of directors of both companies have unanimously approved the transaction. This transaction is expected to close in the third quarter of 2026, subject to customary closing conditions, including Apogee shareholder approval and receipt of regulatory approvals.</w:t>
      </w:r>
    </w:p>
    <w:p w14:paraId="533F0181" w14:textId="77777777" w:rsidR="003213F2" w:rsidRDefault="009C165D">
      <w:pPr>
        <w:pStyle w:val="NormalWeb"/>
        <w:spacing w:before="0" w:beforeAutospacing="0" w:after="0" w:afterAutospacing="0"/>
        <w:rPr>
          <w:sz w:val="20"/>
          <w:szCs w:val="20"/>
        </w:rPr>
      </w:pPr>
      <w:r>
        <w:rPr>
          <w:sz w:val="20"/>
          <w:szCs w:val="20"/>
        </w:rPr>
        <w:t> </w:t>
      </w:r>
    </w:p>
    <w:p w14:paraId="3329820A" w14:textId="77777777" w:rsidR="003213F2" w:rsidRDefault="009C165D">
      <w:pPr>
        <w:pStyle w:val="NormalWeb"/>
        <w:spacing w:before="0" w:beforeAutospacing="0" w:after="0" w:afterAutospacing="0"/>
        <w:divId w:val="1808009681"/>
        <w:rPr>
          <w:rFonts w:ascii="Arial" w:hAnsi="Arial" w:cs="Arial"/>
          <w:sz w:val="20"/>
          <w:szCs w:val="20"/>
        </w:rPr>
      </w:pPr>
      <w:r>
        <w:rPr>
          <w:rFonts w:ascii="Arial" w:hAnsi="Arial" w:cs="Arial"/>
          <w:sz w:val="20"/>
          <w:szCs w:val="20"/>
        </w:rPr>
        <w:t> </w:t>
      </w:r>
    </w:p>
    <w:p w14:paraId="5A6E7ABF" w14:textId="77777777" w:rsidR="003213F2" w:rsidRDefault="009C165D">
      <w:pPr>
        <w:pStyle w:val="NormalWeb"/>
        <w:pageBreakBefore/>
        <w:spacing w:before="0" w:beforeAutospacing="0" w:after="0" w:afterAutospacing="0"/>
        <w:divId w:val="391780510"/>
        <w:rPr>
          <w:rFonts w:ascii="Arial" w:hAnsi="Arial" w:cs="Arial"/>
          <w:sz w:val="20"/>
          <w:szCs w:val="20"/>
        </w:rPr>
      </w:pPr>
      <w:r>
        <w:rPr>
          <w:rFonts w:ascii="Arial" w:hAnsi="Arial" w:cs="Arial"/>
          <w:sz w:val="20"/>
          <w:szCs w:val="20"/>
        </w:rPr>
        <w:lastRenderedPageBreak/>
        <w:t> </w:t>
      </w:r>
    </w:p>
    <w:p w14:paraId="5B67C54E" w14:textId="77777777" w:rsidR="003213F2" w:rsidRDefault="009C165D">
      <w:pPr>
        <w:pStyle w:val="NormalWeb"/>
        <w:spacing w:before="0" w:beforeAutospacing="0" w:after="0" w:afterAutospacing="0"/>
        <w:rPr>
          <w:sz w:val="20"/>
          <w:szCs w:val="20"/>
        </w:rPr>
      </w:pPr>
      <w:r>
        <w:rPr>
          <w:sz w:val="20"/>
          <w:szCs w:val="20"/>
        </w:rPr>
        <w:t> </w:t>
      </w:r>
    </w:p>
    <w:p w14:paraId="37092BF6" w14:textId="77777777" w:rsidR="003213F2" w:rsidRDefault="009C165D">
      <w:pPr>
        <w:pStyle w:val="NormalWeb"/>
        <w:spacing w:before="0" w:beforeAutospacing="0" w:after="0" w:afterAutospacing="0"/>
        <w:rPr>
          <w:sz w:val="20"/>
          <w:szCs w:val="20"/>
        </w:rPr>
      </w:pPr>
      <w:r>
        <w:rPr>
          <w:noProof/>
          <w:sz w:val="20"/>
          <w:szCs w:val="20"/>
        </w:rPr>
        <w:drawing>
          <wp:inline distT="0" distB="0" distL="0" distR="0" wp14:anchorId="26F0D5BA" wp14:editId="72D888FE">
            <wp:extent cx="1371600" cy="333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sz w:val="20"/>
          <w:szCs w:val="20"/>
        </w:rPr>
        <w:t> </w:t>
      </w:r>
    </w:p>
    <w:p w14:paraId="75E8420C" w14:textId="77777777" w:rsidR="003213F2" w:rsidRDefault="009C165D">
      <w:pPr>
        <w:pStyle w:val="NormalWeb"/>
        <w:spacing w:before="0" w:beforeAutospacing="0" w:after="0" w:afterAutospacing="0"/>
        <w:rPr>
          <w:sz w:val="20"/>
          <w:szCs w:val="20"/>
        </w:rPr>
      </w:pPr>
      <w:r>
        <w:rPr>
          <w:sz w:val="20"/>
          <w:szCs w:val="20"/>
        </w:rPr>
        <w:t> </w:t>
      </w:r>
    </w:p>
    <w:p w14:paraId="6A3AC3B6" w14:textId="77777777" w:rsidR="003213F2" w:rsidRDefault="009C165D">
      <w:pPr>
        <w:pStyle w:val="NormalWeb"/>
        <w:spacing w:before="0" w:beforeAutospacing="0" w:after="0" w:afterAutospacing="0"/>
        <w:rPr>
          <w:sz w:val="20"/>
          <w:szCs w:val="20"/>
        </w:rPr>
      </w:pPr>
      <w:r>
        <w:rPr>
          <w:sz w:val="20"/>
          <w:szCs w:val="20"/>
        </w:rPr>
        <w:t>“For more than two decades, AbbVie has led and shaped the field of immunology bringing the science, scale and expertise needed to address some of the most complex diseases,” said Robert A. Michael, Chairman and Chief Executive Officer, AbbVie. “The acquisition of Apogee further builds on our existing leadership, strengthening our ability to deliver innovative medicines to patients who need better options while also creating significant long-term value for shareholders. Apogee’s pipeline adds highly differen</w:t>
      </w:r>
      <w:r>
        <w:rPr>
          <w:sz w:val="20"/>
          <w:szCs w:val="20"/>
        </w:rPr>
        <w:t>tiated clinical-stage assets, further expanding our robust immunology portfolio in areas of significant patient need, including atopic dermatitis and asthma. With our deep scientific expertise and proven capabilities, we are uniquely positioned to rapidly advance these programs and continue to transform the standard of care in inflammatory diseases.”</w:t>
      </w:r>
    </w:p>
    <w:p w14:paraId="6B7318F9" w14:textId="77777777" w:rsidR="003213F2" w:rsidRDefault="009C165D">
      <w:pPr>
        <w:pStyle w:val="NormalWeb"/>
        <w:spacing w:before="0" w:beforeAutospacing="0" w:after="0" w:afterAutospacing="0"/>
        <w:rPr>
          <w:sz w:val="20"/>
          <w:szCs w:val="20"/>
        </w:rPr>
      </w:pPr>
      <w:r>
        <w:rPr>
          <w:sz w:val="20"/>
          <w:szCs w:val="20"/>
        </w:rPr>
        <w:t> </w:t>
      </w:r>
    </w:p>
    <w:p w14:paraId="3991EBF6" w14:textId="77777777" w:rsidR="003213F2" w:rsidRDefault="009C165D">
      <w:pPr>
        <w:pStyle w:val="NormalWeb"/>
        <w:spacing w:before="0" w:beforeAutospacing="0" w:after="0" w:afterAutospacing="0"/>
        <w:rPr>
          <w:sz w:val="20"/>
          <w:szCs w:val="20"/>
        </w:rPr>
      </w:pPr>
      <w:r>
        <w:rPr>
          <w:sz w:val="20"/>
          <w:szCs w:val="20"/>
        </w:rPr>
        <w:t xml:space="preserve">This acquisition holds potential for substantial shareholder value creation with mega-blockbuster peak sales potential across Apogee’s pipeline of assets, including its lead asset, </w:t>
      </w:r>
      <w:proofErr w:type="spellStart"/>
      <w:r>
        <w:rPr>
          <w:sz w:val="20"/>
          <w:szCs w:val="20"/>
        </w:rPr>
        <w:t>zumilokibart</w:t>
      </w:r>
      <w:proofErr w:type="spellEnd"/>
      <w:r>
        <w:rPr>
          <w:sz w:val="20"/>
          <w:szCs w:val="20"/>
        </w:rPr>
        <w:t xml:space="preserve"> (APG777), a subcutaneous half-life extended monoclonal antibody targeting IL-13, being developed in AD and APG273, a combination of </w:t>
      </w:r>
      <w:proofErr w:type="spellStart"/>
      <w:r>
        <w:rPr>
          <w:sz w:val="20"/>
          <w:szCs w:val="20"/>
        </w:rPr>
        <w:t>zumilokibart</w:t>
      </w:r>
      <w:proofErr w:type="spellEnd"/>
      <w:r>
        <w:rPr>
          <w:sz w:val="20"/>
          <w:szCs w:val="20"/>
        </w:rPr>
        <w:t xml:space="preserve"> and APG333, an anti-TSLP half-life extended monoclonal antibody, being developed in asthma.</w:t>
      </w:r>
    </w:p>
    <w:p w14:paraId="2E161E99" w14:textId="77777777" w:rsidR="003213F2" w:rsidRDefault="009C165D">
      <w:pPr>
        <w:pStyle w:val="NormalWeb"/>
        <w:spacing w:before="0" w:beforeAutospacing="0" w:after="0" w:afterAutospacing="0"/>
        <w:rPr>
          <w:sz w:val="20"/>
          <w:szCs w:val="20"/>
        </w:rPr>
      </w:pPr>
      <w:r>
        <w:rPr>
          <w:b/>
          <w:bCs/>
          <w:sz w:val="20"/>
          <w:szCs w:val="20"/>
        </w:rPr>
        <w:t> </w:t>
      </w:r>
    </w:p>
    <w:p w14:paraId="21A0B272" w14:textId="77777777" w:rsidR="003213F2" w:rsidRDefault="009C165D">
      <w:pPr>
        <w:pStyle w:val="NormalWeb"/>
        <w:spacing w:before="0" w:beforeAutospacing="0" w:after="0" w:afterAutospacing="0"/>
        <w:rPr>
          <w:sz w:val="20"/>
          <w:szCs w:val="20"/>
        </w:rPr>
      </w:pPr>
      <w:r>
        <w:rPr>
          <w:sz w:val="20"/>
          <w:szCs w:val="20"/>
        </w:rPr>
        <w:t xml:space="preserve">“This transaction reflects the strength of Apogee’s vision, our team’s dedication, and the significant progress we’ve made advancing </w:t>
      </w:r>
      <w:proofErr w:type="spellStart"/>
      <w:r>
        <w:rPr>
          <w:sz w:val="20"/>
          <w:szCs w:val="20"/>
        </w:rPr>
        <w:t>zumilokibart</w:t>
      </w:r>
      <w:proofErr w:type="spellEnd"/>
      <w:r>
        <w:rPr>
          <w:sz w:val="20"/>
          <w:szCs w:val="20"/>
        </w:rPr>
        <w:t xml:space="preserve"> and our differentiated pipeline,” said Michael Henderson, M.D., chief executive officer, Apogee. “Since our founding, we’ve focused on developing transformative therapies for patients with inflammatory diseases while creating value for shareholders. This transaction delivers substantial shareholder value and positions our programs to reach their full potential. We are deeply grateful to the patients, physicians and investigators who helped make this milestone possible. We believe AbbVie can adv</w:t>
      </w:r>
      <w:r>
        <w:rPr>
          <w:sz w:val="20"/>
          <w:szCs w:val="20"/>
        </w:rPr>
        <w:t xml:space="preserve">ance </w:t>
      </w:r>
      <w:proofErr w:type="spellStart"/>
      <w:r>
        <w:rPr>
          <w:sz w:val="20"/>
          <w:szCs w:val="20"/>
        </w:rPr>
        <w:t>zumilokibart</w:t>
      </w:r>
      <w:proofErr w:type="spellEnd"/>
      <w:r>
        <w:rPr>
          <w:sz w:val="20"/>
          <w:szCs w:val="20"/>
        </w:rPr>
        <w:t xml:space="preserve"> and our portfolio while expanding their impact for patients worldwide.”</w:t>
      </w:r>
    </w:p>
    <w:p w14:paraId="2CEA713E" w14:textId="77777777" w:rsidR="003213F2" w:rsidRDefault="009C165D">
      <w:pPr>
        <w:pStyle w:val="NormalWeb"/>
        <w:spacing w:before="0" w:beforeAutospacing="0" w:after="0" w:afterAutospacing="0"/>
        <w:rPr>
          <w:sz w:val="20"/>
          <w:szCs w:val="20"/>
        </w:rPr>
      </w:pPr>
      <w:r>
        <w:rPr>
          <w:sz w:val="20"/>
          <w:szCs w:val="20"/>
        </w:rPr>
        <w:t> </w:t>
      </w:r>
    </w:p>
    <w:p w14:paraId="39072959" w14:textId="77777777" w:rsidR="003213F2" w:rsidRDefault="009C165D">
      <w:pPr>
        <w:pStyle w:val="NormalWeb"/>
        <w:spacing w:before="0" w:beforeAutospacing="0" w:after="0" w:afterAutospacing="0"/>
        <w:rPr>
          <w:sz w:val="20"/>
          <w:szCs w:val="20"/>
        </w:rPr>
      </w:pPr>
      <w:proofErr w:type="spellStart"/>
      <w:r>
        <w:rPr>
          <w:sz w:val="20"/>
          <w:szCs w:val="20"/>
        </w:rPr>
        <w:t>Zumilokibart</w:t>
      </w:r>
      <w:proofErr w:type="spellEnd"/>
      <w:r>
        <w:rPr>
          <w:sz w:val="20"/>
          <w:szCs w:val="20"/>
        </w:rPr>
        <w:t xml:space="preserve"> targets IL-13, a critical cytokine in type 2 inflammation, and a central driver of inflammatory diseases like AD and asthma. Specifically in AD, a large majority of patients do not achieve simultaneous itch and skin improvement which represents an opportunity for the development of novel treatments that not only provide better skin clearance and itch resolution but also improve convenience with less frequent dosing. In its Phase 2 clinical trial, </w:t>
      </w:r>
      <w:proofErr w:type="spellStart"/>
      <w:r>
        <w:rPr>
          <w:sz w:val="20"/>
          <w:szCs w:val="20"/>
        </w:rPr>
        <w:t>zumilokibart</w:t>
      </w:r>
      <w:proofErr w:type="spellEnd"/>
      <w:r>
        <w:rPr>
          <w:sz w:val="20"/>
          <w:szCs w:val="20"/>
        </w:rPr>
        <w:t xml:space="preserve"> attained clinically significant results, with a</w:t>
      </w:r>
      <w:r>
        <w:rPr>
          <w:sz w:val="20"/>
          <w:szCs w:val="20"/>
        </w:rPr>
        <w:t xml:space="preserve">pproximately two-thirds of patients on treatment achieving significant skin clearance at 16 weeks, along with notable improvements in itch reduction and overall disease control. These findings support its potential best-in-category profile, including strong efficacy and significantly improved dosing, in patients with AD. Longer-term data from the same trial also supports highly convenient maintenance regimens of either quarterly or twice a year dosing. The safety profile of </w:t>
      </w:r>
      <w:proofErr w:type="spellStart"/>
      <w:r>
        <w:rPr>
          <w:sz w:val="20"/>
          <w:szCs w:val="20"/>
        </w:rPr>
        <w:t>zumilokibart</w:t>
      </w:r>
      <w:proofErr w:type="spellEnd"/>
      <w:r>
        <w:rPr>
          <w:sz w:val="20"/>
          <w:szCs w:val="20"/>
        </w:rPr>
        <w:t xml:space="preserve"> is favorable and con</w:t>
      </w:r>
      <w:r>
        <w:rPr>
          <w:sz w:val="20"/>
          <w:szCs w:val="20"/>
        </w:rPr>
        <w:t xml:space="preserve">sistent with other medicines in its class, and the molecule has the potential to be evaluated in several additional inflammatory indications. </w:t>
      </w:r>
    </w:p>
    <w:p w14:paraId="62C9FC4B" w14:textId="77777777" w:rsidR="003213F2" w:rsidRDefault="009C165D">
      <w:pPr>
        <w:pStyle w:val="NormalWeb"/>
        <w:spacing w:before="0" w:beforeAutospacing="0" w:after="0" w:afterAutospacing="0"/>
        <w:rPr>
          <w:sz w:val="20"/>
          <w:szCs w:val="20"/>
        </w:rPr>
      </w:pPr>
      <w:r>
        <w:rPr>
          <w:sz w:val="20"/>
          <w:szCs w:val="20"/>
        </w:rPr>
        <w:t> </w:t>
      </w:r>
    </w:p>
    <w:p w14:paraId="79E0B597" w14:textId="77777777" w:rsidR="003213F2" w:rsidRDefault="009C165D">
      <w:pPr>
        <w:pStyle w:val="NormalWeb"/>
        <w:spacing w:before="0" w:beforeAutospacing="0" w:after="0" w:afterAutospacing="0"/>
        <w:divId w:val="1860897696"/>
        <w:rPr>
          <w:rFonts w:ascii="Arial" w:hAnsi="Arial" w:cs="Arial"/>
          <w:sz w:val="20"/>
          <w:szCs w:val="20"/>
        </w:rPr>
      </w:pPr>
      <w:r>
        <w:rPr>
          <w:rFonts w:ascii="Arial" w:hAnsi="Arial" w:cs="Arial"/>
          <w:sz w:val="20"/>
          <w:szCs w:val="20"/>
        </w:rPr>
        <w:t> </w:t>
      </w:r>
    </w:p>
    <w:p w14:paraId="3CA354B9" w14:textId="77777777" w:rsidR="003213F2" w:rsidRDefault="009C165D">
      <w:pPr>
        <w:pStyle w:val="NormalWeb"/>
        <w:pageBreakBefore/>
        <w:spacing w:before="0" w:beforeAutospacing="0" w:after="0" w:afterAutospacing="0"/>
        <w:divId w:val="246037650"/>
        <w:rPr>
          <w:rFonts w:ascii="Arial" w:hAnsi="Arial" w:cs="Arial"/>
          <w:sz w:val="20"/>
          <w:szCs w:val="20"/>
        </w:rPr>
      </w:pPr>
      <w:r>
        <w:rPr>
          <w:rFonts w:ascii="Arial" w:hAnsi="Arial" w:cs="Arial"/>
          <w:sz w:val="20"/>
          <w:szCs w:val="20"/>
        </w:rPr>
        <w:lastRenderedPageBreak/>
        <w:t> </w:t>
      </w:r>
    </w:p>
    <w:p w14:paraId="60F60237" w14:textId="77777777" w:rsidR="003213F2" w:rsidRDefault="009C165D">
      <w:pPr>
        <w:pStyle w:val="NormalWeb"/>
        <w:spacing w:before="0" w:beforeAutospacing="0" w:after="0" w:afterAutospacing="0"/>
        <w:rPr>
          <w:sz w:val="20"/>
          <w:szCs w:val="20"/>
        </w:rPr>
      </w:pPr>
      <w:r>
        <w:rPr>
          <w:sz w:val="20"/>
          <w:szCs w:val="20"/>
        </w:rPr>
        <w:t> </w:t>
      </w:r>
    </w:p>
    <w:p w14:paraId="58BFDCFC" w14:textId="77777777" w:rsidR="003213F2" w:rsidRDefault="009C165D">
      <w:pPr>
        <w:pStyle w:val="NormalWeb"/>
        <w:spacing w:before="0" w:beforeAutospacing="0" w:after="0" w:afterAutospacing="0"/>
        <w:rPr>
          <w:sz w:val="20"/>
          <w:szCs w:val="20"/>
        </w:rPr>
      </w:pPr>
      <w:r>
        <w:rPr>
          <w:noProof/>
          <w:sz w:val="20"/>
          <w:szCs w:val="20"/>
        </w:rPr>
        <w:drawing>
          <wp:inline distT="0" distB="0" distL="0" distR="0" wp14:anchorId="4E6B6EB0" wp14:editId="780C7793">
            <wp:extent cx="1371600" cy="333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sz w:val="20"/>
          <w:szCs w:val="20"/>
        </w:rPr>
        <w:t> </w:t>
      </w:r>
    </w:p>
    <w:p w14:paraId="538D83B1" w14:textId="77777777" w:rsidR="003213F2" w:rsidRDefault="009C165D">
      <w:pPr>
        <w:pStyle w:val="NormalWeb"/>
        <w:spacing w:before="0" w:beforeAutospacing="0" w:after="0" w:afterAutospacing="0"/>
        <w:rPr>
          <w:sz w:val="20"/>
          <w:szCs w:val="20"/>
        </w:rPr>
      </w:pPr>
      <w:r>
        <w:rPr>
          <w:sz w:val="20"/>
          <w:szCs w:val="20"/>
        </w:rPr>
        <w:t> </w:t>
      </w:r>
    </w:p>
    <w:p w14:paraId="7701F676" w14:textId="77777777" w:rsidR="003213F2" w:rsidRDefault="009C165D">
      <w:pPr>
        <w:pStyle w:val="NormalWeb"/>
        <w:spacing w:before="0" w:beforeAutospacing="0" w:after="0" w:afterAutospacing="0"/>
        <w:rPr>
          <w:sz w:val="20"/>
          <w:szCs w:val="20"/>
        </w:rPr>
      </w:pPr>
      <w:r>
        <w:rPr>
          <w:sz w:val="20"/>
          <w:szCs w:val="20"/>
        </w:rPr>
        <w:t xml:space="preserve">Beyond </w:t>
      </w:r>
      <w:proofErr w:type="spellStart"/>
      <w:r>
        <w:rPr>
          <w:sz w:val="20"/>
          <w:szCs w:val="20"/>
        </w:rPr>
        <w:t>zumilokibart</w:t>
      </w:r>
      <w:proofErr w:type="spellEnd"/>
      <w:r>
        <w:rPr>
          <w:sz w:val="20"/>
          <w:szCs w:val="20"/>
        </w:rPr>
        <w:t xml:space="preserve">, Apogee has built a broader pipeline of novel antibodies targeting multiple validated inflammatory pathways. APG273 combines </w:t>
      </w:r>
      <w:proofErr w:type="spellStart"/>
      <w:r>
        <w:rPr>
          <w:sz w:val="20"/>
          <w:szCs w:val="20"/>
        </w:rPr>
        <w:t>zumilokibart</w:t>
      </w:r>
      <w:proofErr w:type="spellEnd"/>
      <w:r>
        <w:rPr>
          <w:sz w:val="20"/>
          <w:szCs w:val="20"/>
        </w:rPr>
        <w:t xml:space="preserve"> with APG333, an antibody that blocks TSLP, a signaling protein that acts as an early trigger of inflammation in the lungs. Phase 1 data showed that APG333 has a long half-life and was able to suppress relevant type 2 inflammatory markers for up to six months after dosing. The Phase 1 data with APG333 and positive interim results from a phase 1b study of </w:t>
      </w:r>
      <w:proofErr w:type="spellStart"/>
      <w:r>
        <w:rPr>
          <w:sz w:val="20"/>
          <w:szCs w:val="20"/>
        </w:rPr>
        <w:t>zumil</w:t>
      </w:r>
      <w:r>
        <w:rPr>
          <w:sz w:val="20"/>
          <w:szCs w:val="20"/>
        </w:rPr>
        <w:t>okibart</w:t>
      </w:r>
      <w:proofErr w:type="spellEnd"/>
      <w:r>
        <w:rPr>
          <w:sz w:val="20"/>
          <w:szCs w:val="20"/>
        </w:rPr>
        <w:t xml:space="preserve"> in asthma, supports the potential of the APG273 combination with quarterly or twice-yearly injections in asthma.</w:t>
      </w:r>
    </w:p>
    <w:p w14:paraId="215912EB" w14:textId="77777777" w:rsidR="003213F2" w:rsidRDefault="009C165D">
      <w:pPr>
        <w:pStyle w:val="NormalWeb"/>
        <w:spacing w:before="0" w:beforeAutospacing="0" w:after="0" w:afterAutospacing="0"/>
        <w:rPr>
          <w:sz w:val="20"/>
          <w:szCs w:val="20"/>
        </w:rPr>
      </w:pPr>
      <w:r>
        <w:rPr>
          <w:sz w:val="20"/>
          <w:szCs w:val="20"/>
        </w:rPr>
        <w:t> </w:t>
      </w:r>
    </w:p>
    <w:p w14:paraId="71377332" w14:textId="77777777" w:rsidR="003213F2" w:rsidRDefault="009C165D">
      <w:pPr>
        <w:pStyle w:val="NormalWeb"/>
        <w:spacing w:before="0" w:beforeAutospacing="0" w:after="0" w:afterAutospacing="0"/>
        <w:rPr>
          <w:sz w:val="20"/>
          <w:szCs w:val="20"/>
        </w:rPr>
      </w:pPr>
      <w:r>
        <w:rPr>
          <w:b/>
          <w:bCs/>
          <w:sz w:val="20"/>
          <w:szCs w:val="20"/>
        </w:rPr>
        <w:t>Transaction Terms </w:t>
      </w:r>
    </w:p>
    <w:p w14:paraId="774B3D59" w14:textId="77777777" w:rsidR="003213F2" w:rsidRDefault="009C165D">
      <w:pPr>
        <w:pStyle w:val="NormalWeb"/>
        <w:spacing w:before="0" w:beforeAutospacing="0" w:after="0" w:afterAutospacing="0"/>
        <w:rPr>
          <w:sz w:val="20"/>
          <w:szCs w:val="20"/>
        </w:rPr>
      </w:pPr>
      <w:r>
        <w:rPr>
          <w:b/>
          <w:bCs/>
          <w:sz w:val="20"/>
          <w:szCs w:val="20"/>
        </w:rPr>
        <w:t> </w:t>
      </w:r>
    </w:p>
    <w:p w14:paraId="1C7D66A9" w14:textId="77777777" w:rsidR="003213F2" w:rsidRDefault="009C165D">
      <w:pPr>
        <w:pStyle w:val="NormalWeb"/>
        <w:spacing w:before="0" w:beforeAutospacing="0" w:after="0" w:afterAutospacing="0"/>
        <w:rPr>
          <w:sz w:val="20"/>
          <w:szCs w:val="20"/>
        </w:rPr>
      </w:pPr>
      <w:r>
        <w:rPr>
          <w:sz w:val="20"/>
          <w:szCs w:val="20"/>
        </w:rPr>
        <w:t>Under the terms of the definitive agreement, AbbVie will acquire all outstanding Apogee common stock for $135.11 per share in cash. The proposed transaction is subject to customary closing conditions, including receipt of regulatory approvals and approval by Apogee shareholders. Fairmount Funds Management LLC and Venrock Associates have entered into voting agreements in support of the transaction.</w:t>
      </w:r>
    </w:p>
    <w:p w14:paraId="11D82775" w14:textId="77777777" w:rsidR="003213F2" w:rsidRDefault="009C165D">
      <w:pPr>
        <w:pStyle w:val="NormalWeb"/>
        <w:spacing w:before="0" w:beforeAutospacing="0" w:after="0" w:afterAutospacing="0"/>
        <w:rPr>
          <w:sz w:val="20"/>
          <w:szCs w:val="20"/>
        </w:rPr>
      </w:pPr>
      <w:r>
        <w:rPr>
          <w:sz w:val="20"/>
          <w:szCs w:val="20"/>
        </w:rPr>
        <w:t> </w:t>
      </w:r>
    </w:p>
    <w:p w14:paraId="2C6E609D" w14:textId="77777777" w:rsidR="003213F2" w:rsidRDefault="009C165D">
      <w:pPr>
        <w:pStyle w:val="NormalWeb"/>
        <w:spacing w:before="0" w:beforeAutospacing="0" w:after="0" w:afterAutospacing="0"/>
        <w:rPr>
          <w:sz w:val="20"/>
          <w:szCs w:val="20"/>
        </w:rPr>
      </w:pPr>
      <w:r>
        <w:rPr>
          <w:sz w:val="20"/>
          <w:szCs w:val="20"/>
        </w:rPr>
        <w:t>The proposed transaction is expected to be accretive to AbbVie’s adjusted diluted earnings per share (EPS) beginning in 2032.</w:t>
      </w:r>
    </w:p>
    <w:p w14:paraId="217D27DA" w14:textId="77777777" w:rsidR="003213F2" w:rsidRDefault="009C165D">
      <w:pPr>
        <w:pStyle w:val="NormalWeb"/>
        <w:spacing w:before="0" w:beforeAutospacing="0" w:after="0" w:afterAutospacing="0"/>
        <w:rPr>
          <w:sz w:val="20"/>
          <w:szCs w:val="20"/>
        </w:rPr>
      </w:pPr>
      <w:r>
        <w:rPr>
          <w:sz w:val="20"/>
          <w:szCs w:val="20"/>
        </w:rPr>
        <w:t> </w:t>
      </w:r>
    </w:p>
    <w:p w14:paraId="596E8E3E" w14:textId="77777777" w:rsidR="003213F2" w:rsidRDefault="009C165D">
      <w:pPr>
        <w:pStyle w:val="NormalWeb"/>
        <w:spacing w:before="0" w:beforeAutospacing="0" w:after="0" w:afterAutospacing="0"/>
        <w:rPr>
          <w:sz w:val="20"/>
          <w:szCs w:val="20"/>
        </w:rPr>
      </w:pPr>
      <w:r>
        <w:rPr>
          <w:b/>
          <w:bCs/>
          <w:sz w:val="20"/>
          <w:szCs w:val="20"/>
        </w:rPr>
        <w:t>AbbVie Conference Call Details </w:t>
      </w:r>
    </w:p>
    <w:p w14:paraId="0153B546" w14:textId="77777777" w:rsidR="003213F2" w:rsidRDefault="009C165D">
      <w:pPr>
        <w:pStyle w:val="NormalWeb"/>
        <w:spacing w:before="0" w:beforeAutospacing="0" w:after="0" w:afterAutospacing="0"/>
        <w:rPr>
          <w:sz w:val="20"/>
          <w:szCs w:val="20"/>
        </w:rPr>
      </w:pPr>
      <w:r>
        <w:rPr>
          <w:b/>
          <w:bCs/>
          <w:sz w:val="20"/>
          <w:szCs w:val="20"/>
        </w:rPr>
        <w:t> </w:t>
      </w:r>
    </w:p>
    <w:p w14:paraId="035DDC41" w14:textId="77777777" w:rsidR="003213F2" w:rsidRDefault="009C165D">
      <w:pPr>
        <w:pStyle w:val="NormalWeb"/>
        <w:spacing w:before="0" w:beforeAutospacing="0" w:after="0" w:afterAutospacing="0"/>
        <w:rPr>
          <w:sz w:val="20"/>
          <w:szCs w:val="20"/>
        </w:rPr>
      </w:pPr>
      <w:r>
        <w:rPr>
          <w:sz w:val="20"/>
          <w:szCs w:val="20"/>
        </w:rPr>
        <w:t xml:space="preserve">AbbVie will host an investor conference call today, June 22, at 8:00 a.m. CT to discuss this transaction. The call will be webcast through AbbVie's Investor Relations website at </w:t>
      </w:r>
      <w:r>
        <w:rPr>
          <w:sz w:val="20"/>
          <w:szCs w:val="20"/>
          <w:u w:val="single"/>
        </w:rPr>
        <w:t>investors.abbvie.com</w:t>
      </w:r>
      <w:r>
        <w:rPr>
          <w:sz w:val="20"/>
          <w:szCs w:val="20"/>
        </w:rPr>
        <w:t xml:space="preserve">. An archived edition of the call will be available after 9:00 a.m. CT. Presentation materials for the investor conference call are available </w:t>
      </w:r>
      <w:r>
        <w:rPr>
          <w:sz w:val="20"/>
          <w:szCs w:val="20"/>
          <w:u w:val="single"/>
        </w:rPr>
        <w:t>here</w:t>
      </w:r>
      <w:r>
        <w:rPr>
          <w:sz w:val="20"/>
          <w:szCs w:val="20"/>
        </w:rPr>
        <w:t>.</w:t>
      </w:r>
    </w:p>
    <w:p w14:paraId="42D76854" w14:textId="77777777" w:rsidR="003213F2" w:rsidRDefault="009C165D">
      <w:pPr>
        <w:pStyle w:val="NormalWeb"/>
        <w:spacing w:before="0" w:beforeAutospacing="0" w:after="0" w:afterAutospacing="0"/>
        <w:rPr>
          <w:sz w:val="20"/>
          <w:szCs w:val="20"/>
        </w:rPr>
      </w:pPr>
      <w:r>
        <w:rPr>
          <w:sz w:val="20"/>
          <w:szCs w:val="20"/>
        </w:rPr>
        <w:t> </w:t>
      </w:r>
    </w:p>
    <w:p w14:paraId="5CCA4520" w14:textId="77777777" w:rsidR="003213F2" w:rsidRDefault="009C165D">
      <w:pPr>
        <w:pStyle w:val="NormalWeb"/>
        <w:spacing w:before="0" w:beforeAutospacing="0" w:after="0" w:afterAutospacing="0"/>
        <w:rPr>
          <w:sz w:val="20"/>
          <w:szCs w:val="20"/>
        </w:rPr>
      </w:pPr>
      <w:r>
        <w:rPr>
          <w:b/>
          <w:bCs/>
          <w:sz w:val="20"/>
          <w:szCs w:val="20"/>
        </w:rPr>
        <w:t>Advisors </w:t>
      </w:r>
    </w:p>
    <w:p w14:paraId="56CAB8B6" w14:textId="77777777" w:rsidR="003213F2" w:rsidRDefault="009C165D">
      <w:pPr>
        <w:pStyle w:val="NormalWeb"/>
        <w:spacing w:before="0" w:beforeAutospacing="0" w:after="0" w:afterAutospacing="0"/>
        <w:rPr>
          <w:sz w:val="20"/>
          <w:szCs w:val="20"/>
        </w:rPr>
      </w:pPr>
      <w:r>
        <w:rPr>
          <w:b/>
          <w:bCs/>
          <w:sz w:val="20"/>
          <w:szCs w:val="20"/>
        </w:rPr>
        <w:t> </w:t>
      </w:r>
    </w:p>
    <w:p w14:paraId="3A1D0106" w14:textId="77777777" w:rsidR="003213F2" w:rsidRDefault="009C165D">
      <w:pPr>
        <w:pStyle w:val="NormalWeb"/>
        <w:spacing w:before="0" w:beforeAutospacing="0" w:after="0" w:afterAutospacing="0"/>
        <w:rPr>
          <w:sz w:val="20"/>
          <w:szCs w:val="20"/>
        </w:rPr>
      </w:pPr>
      <w:r>
        <w:rPr>
          <w:sz w:val="20"/>
          <w:szCs w:val="20"/>
        </w:rPr>
        <w:t xml:space="preserve">AbbVie's financial </w:t>
      </w:r>
      <w:proofErr w:type="gramStart"/>
      <w:r>
        <w:rPr>
          <w:sz w:val="20"/>
          <w:szCs w:val="20"/>
        </w:rPr>
        <w:t>advisor is</w:t>
      </w:r>
      <w:proofErr w:type="gramEnd"/>
      <w:r>
        <w:rPr>
          <w:sz w:val="20"/>
          <w:szCs w:val="20"/>
        </w:rPr>
        <w:t xml:space="preserve"> Morgan Stanley &amp; Co. LLC and Paul, Weiss, Rifkind, Wharton &amp; Garrison LLP </w:t>
      </w:r>
      <w:proofErr w:type="gramStart"/>
      <w:r>
        <w:rPr>
          <w:sz w:val="20"/>
          <w:szCs w:val="20"/>
        </w:rPr>
        <w:t>is</w:t>
      </w:r>
      <w:proofErr w:type="gramEnd"/>
      <w:r>
        <w:rPr>
          <w:sz w:val="20"/>
          <w:szCs w:val="20"/>
        </w:rPr>
        <w:t xml:space="preserve"> serving as legal </w:t>
      </w:r>
      <w:proofErr w:type="gramStart"/>
      <w:r>
        <w:rPr>
          <w:sz w:val="20"/>
          <w:szCs w:val="20"/>
        </w:rPr>
        <w:t>advisor</w:t>
      </w:r>
      <w:proofErr w:type="gramEnd"/>
      <w:r>
        <w:rPr>
          <w:sz w:val="20"/>
          <w:szCs w:val="20"/>
        </w:rPr>
        <w:t>.</w:t>
      </w:r>
    </w:p>
    <w:p w14:paraId="05BD1408" w14:textId="77777777" w:rsidR="003213F2" w:rsidRDefault="009C165D">
      <w:pPr>
        <w:pStyle w:val="NormalWeb"/>
        <w:spacing w:before="0" w:beforeAutospacing="0" w:after="0" w:afterAutospacing="0"/>
        <w:rPr>
          <w:sz w:val="20"/>
          <w:szCs w:val="20"/>
        </w:rPr>
      </w:pPr>
      <w:r>
        <w:rPr>
          <w:sz w:val="20"/>
          <w:szCs w:val="20"/>
        </w:rPr>
        <w:t> </w:t>
      </w:r>
    </w:p>
    <w:p w14:paraId="41B62A02" w14:textId="77777777" w:rsidR="003213F2" w:rsidRDefault="009C165D">
      <w:pPr>
        <w:pStyle w:val="NormalWeb"/>
        <w:spacing w:before="0" w:beforeAutospacing="0" w:after="0" w:afterAutospacing="0"/>
        <w:rPr>
          <w:sz w:val="20"/>
          <w:szCs w:val="20"/>
        </w:rPr>
      </w:pPr>
      <w:r>
        <w:rPr>
          <w:sz w:val="20"/>
          <w:szCs w:val="20"/>
        </w:rPr>
        <w:t xml:space="preserve">Apogee’s financial advisors are Jefferies LLC and Goldman Sachs &amp; Co. LLC, and Kirkland &amp; Ellis LLP </w:t>
      </w:r>
      <w:proofErr w:type="gramStart"/>
      <w:r>
        <w:rPr>
          <w:sz w:val="20"/>
          <w:szCs w:val="20"/>
        </w:rPr>
        <w:t>is</w:t>
      </w:r>
      <w:proofErr w:type="gramEnd"/>
      <w:r>
        <w:rPr>
          <w:sz w:val="20"/>
          <w:szCs w:val="20"/>
        </w:rPr>
        <w:t xml:space="preserve"> serving as legal </w:t>
      </w:r>
      <w:proofErr w:type="gramStart"/>
      <w:r>
        <w:rPr>
          <w:sz w:val="20"/>
          <w:szCs w:val="20"/>
        </w:rPr>
        <w:t>advisor</w:t>
      </w:r>
      <w:proofErr w:type="gramEnd"/>
      <w:r>
        <w:rPr>
          <w:sz w:val="20"/>
          <w:szCs w:val="20"/>
        </w:rPr>
        <w:t>.</w:t>
      </w:r>
    </w:p>
    <w:p w14:paraId="047663ED" w14:textId="77777777" w:rsidR="003213F2" w:rsidRDefault="009C165D">
      <w:pPr>
        <w:pStyle w:val="NormalWeb"/>
        <w:spacing w:before="0" w:beforeAutospacing="0" w:after="0" w:afterAutospacing="0"/>
        <w:rPr>
          <w:sz w:val="20"/>
          <w:szCs w:val="20"/>
        </w:rPr>
      </w:pPr>
      <w:r>
        <w:rPr>
          <w:sz w:val="20"/>
          <w:szCs w:val="20"/>
        </w:rPr>
        <w:t> </w:t>
      </w:r>
    </w:p>
    <w:p w14:paraId="4CE41C5E" w14:textId="77777777" w:rsidR="003213F2" w:rsidRDefault="009C165D">
      <w:pPr>
        <w:pStyle w:val="NormalWeb"/>
        <w:spacing w:before="0" w:beforeAutospacing="0" w:after="0" w:afterAutospacing="0"/>
        <w:divId w:val="1011955516"/>
        <w:rPr>
          <w:rFonts w:ascii="Arial" w:hAnsi="Arial" w:cs="Arial"/>
          <w:sz w:val="20"/>
          <w:szCs w:val="20"/>
        </w:rPr>
      </w:pPr>
      <w:r>
        <w:rPr>
          <w:rFonts w:ascii="Arial" w:hAnsi="Arial" w:cs="Arial"/>
          <w:sz w:val="20"/>
          <w:szCs w:val="20"/>
        </w:rPr>
        <w:t> </w:t>
      </w:r>
    </w:p>
    <w:p w14:paraId="66210E80" w14:textId="77777777" w:rsidR="003213F2" w:rsidRDefault="009C165D">
      <w:pPr>
        <w:pStyle w:val="NormalWeb"/>
        <w:pageBreakBefore/>
        <w:spacing w:before="0" w:beforeAutospacing="0" w:after="0" w:afterAutospacing="0"/>
        <w:divId w:val="332345078"/>
        <w:rPr>
          <w:rFonts w:ascii="Arial" w:hAnsi="Arial" w:cs="Arial"/>
          <w:sz w:val="20"/>
          <w:szCs w:val="20"/>
        </w:rPr>
      </w:pPr>
      <w:r>
        <w:rPr>
          <w:rFonts w:ascii="Arial" w:hAnsi="Arial" w:cs="Arial"/>
          <w:sz w:val="20"/>
          <w:szCs w:val="20"/>
        </w:rPr>
        <w:lastRenderedPageBreak/>
        <w:t> </w:t>
      </w:r>
    </w:p>
    <w:p w14:paraId="1D3621DD" w14:textId="77777777" w:rsidR="003213F2" w:rsidRDefault="009C165D">
      <w:pPr>
        <w:pStyle w:val="NormalWeb"/>
        <w:spacing w:before="0" w:beforeAutospacing="0" w:after="0" w:afterAutospacing="0"/>
        <w:rPr>
          <w:sz w:val="20"/>
          <w:szCs w:val="20"/>
        </w:rPr>
      </w:pPr>
      <w:r>
        <w:rPr>
          <w:sz w:val="20"/>
          <w:szCs w:val="20"/>
        </w:rPr>
        <w:t> </w:t>
      </w:r>
    </w:p>
    <w:p w14:paraId="40BDDB33" w14:textId="77777777" w:rsidR="003213F2" w:rsidRDefault="009C165D">
      <w:pPr>
        <w:pStyle w:val="NormalWeb"/>
        <w:spacing w:before="0" w:beforeAutospacing="0" w:after="0" w:afterAutospacing="0"/>
        <w:rPr>
          <w:sz w:val="20"/>
          <w:szCs w:val="20"/>
        </w:rPr>
      </w:pPr>
      <w:r>
        <w:rPr>
          <w:noProof/>
          <w:sz w:val="20"/>
          <w:szCs w:val="20"/>
        </w:rPr>
        <w:drawing>
          <wp:inline distT="0" distB="0" distL="0" distR="0" wp14:anchorId="4166CEB8" wp14:editId="1154339F">
            <wp:extent cx="1371600" cy="333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sz w:val="20"/>
          <w:szCs w:val="20"/>
        </w:rPr>
        <w:t> </w:t>
      </w:r>
    </w:p>
    <w:p w14:paraId="4E8F0B0B" w14:textId="77777777" w:rsidR="003213F2" w:rsidRDefault="009C165D">
      <w:pPr>
        <w:pStyle w:val="NormalWeb"/>
        <w:spacing w:before="0" w:beforeAutospacing="0" w:after="0" w:afterAutospacing="0"/>
        <w:rPr>
          <w:sz w:val="20"/>
          <w:szCs w:val="20"/>
        </w:rPr>
      </w:pPr>
      <w:r>
        <w:rPr>
          <w:sz w:val="20"/>
          <w:szCs w:val="20"/>
        </w:rPr>
        <w:t> </w:t>
      </w:r>
    </w:p>
    <w:p w14:paraId="60A784D4" w14:textId="77777777" w:rsidR="003213F2" w:rsidRDefault="009C165D">
      <w:pPr>
        <w:pStyle w:val="NormalWeb"/>
        <w:spacing w:before="0" w:beforeAutospacing="0" w:after="0" w:afterAutospacing="0"/>
        <w:rPr>
          <w:sz w:val="20"/>
          <w:szCs w:val="20"/>
        </w:rPr>
      </w:pPr>
      <w:r>
        <w:rPr>
          <w:b/>
          <w:bCs/>
          <w:sz w:val="20"/>
          <w:szCs w:val="20"/>
        </w:rPr>
        <w:t>About AbbVie in Immunology </w:t>
      </w:r>
    </w:p>
    <w:p w14:paraId="159F9F12" w14:textId="77777777" w:rsidR="003213F2" w:rsidRDefault="009C165D">
      <w:pPr>
        <w:pStyle w:val="NormalWeb"/>
        <w:spacing w:before="0" w:beforeAutospacing="0" w:after="0" w:afterAutospacing="0"/>
        <w:rPr>
          <w:sz w:val="20"/>
          <w:szCs w:val="20"/>
        </w:rPr>
      </w:pPr>
      <w:r>
        <w:rPr>
          <w:b/>
          <w:bCs/>
          <w:sz w:val="20"/>
          <w:szCs w:val="20"/>
        </w:rPr>
        <w:t> </w:t>
      </w:r>
    </w:p>
    <w:p w14:paraId="27A63827" w14:textId="77777777" w:rsidR="003213F2" w:rsidRDefault="009C165D">
      <w:pPr>
        <w:pStyle w:val="NormalWeb"/>
        <w:spacing w:before="0" w:beforeAutospacing="0" w:after="0" w:afterAutospacing="0"/>
        <w:rPr>
          <w:sz w:val="20"/>
          <w:szCs w:val="20"/>
        </w:rPr>
      </w:pPr>
      <w:r>
        <w:rPr>
          <w:sz w:val="20"/>
          <w:szCs w:val="20"/>
        </w:rPr>
        <w:t xml:space="preserve">AbbVie is relentless in our pursuit </w:t>
      </w:r>
      <w:proofErr w:type="gramStart"/>
      <w:r>
        <w:rPr>
          <w:sz w:val="20"/>
          <w:szCs w:val="20"/>
        </w:rPr>
        <w:t>to</w:t>
      </w:r>
      <w:proofErr w:type="gramEnd"/>
      <w:r>
        <w:rPr>
          <w:sz w:val="20"/>
          <w:szCs w:val="20"/>
        </w:rPr>
        <w:t xml:space="preserve"> redefine the standard of care for patients living with immune-mediated conditions, with the goal of helping them live a life free from the limitations of their disease. For more than 20 years, AbbVie has led and helped shape the field of immunology through groundbreaking science and trusted medicines. Building on deep expertise across gastroenterology, rheumatology and dermatology, and other areas of high unmet need, we continue to invest in a broad and differentiated pipeline – spanning innovative modal</w:t>
      </w:r>
      <w:r>
        <w:rPr>
          <w:sz w:val="20"/>
          <w:szCs w:val="20"/>
        </w:rPr>
        <w:t>ities, novel mechanisms of actions and next-generation approaches designed to conquer the complex biology underlying immune-mediated disease.</w:t>
      </w:r>
    </w:p>
    <w:p w14:paraId="2EC4F601" w14:textId="77777777" w:rsidR="003213F2" w:rsidRDefault="009C165D">
      <w:pPr>
        <w:pStyle w:val="NormalWeb"/>
        <w:spacing w:before="0" w:beforeAutospacing="0" w:after="0" w:afterAutospacing="0"/>
        <w:rPr>
          <w:sz w:val="20"/>
          <w:szCs w:val="20"/>
        </w:rPr>
      </w:pPr>
      <w:r>
        <w:rPr>
          <w:sz w:val="20"/>
          <w:szCs w:val="20"/>
        </w:rPr>
        <w:t> </w:t>
      </w:r>
    </w:p>
    <w:p w14:paraId="551E42ED" w14:textId="77777777" w:rsidR="003213F2" w:rsidRDefault="009C165D">
      <w:pPr>
        <w:pStyle w:val="NormalWeb"/>
        <w:spacing w:before="0" w:beforeAutospacing="0" w:after="0" w:afterAutospacing="0"/>
        <w:rPr>
          <w:sz w:val="20"/>
          <w:szCs w:val="20"/>
        </w:rPr>
      </w:pPr>
      <w:r>
        <w:rPr>
          <w:sz w:val="20"/>
          <w:szCs w:val="20"/>
        </w:rPr>
        <w:t xml:space="preserve">Today, more than 1 million patients worldwide are treated with AbbVie’s immunology medicines, approved in more than 175 countries across 19 immune-mediated diseases that impact adult and pediatric populations. As we work to strengthen our legacy and drive the next wave of innovation, we remain focused on delivering meaningful progress for patients and expanding access to our medicines. For more information, please visit </w:t>
      </w:r>
      <w:r>
        <w:rPr>
          <w:sz w:val="20"/>
          <w:szCs w:val="20"/>
          <w:u w:val="single"/>
        </w:rPr>
        <w:t>www.abbvie.com/immunology</w:t>
      </w:r>
      <w:r>
        <w:rPr>
          <w:sz w:val="20"/>
          <w:szCs w:val="20"/>
        </w:rPr>
        <w:t>.</w:t>
      </w:r>
    </w:p>
    <w:p w14:paraId="04FA71A4" w14:textId="77777777" w:rsidR="003213F2" w:rsidRDefault="009C165D">
      <w:pPr>
        <w:pStyle w:val="NormalWeb"/>
        <w:spacing w:before="0" w:beforeAutospacing="0" w:after="0" w:afterAutospacing="0"/>
        <w:rPr>
          <w:sz w:val="20"/>
          <w:szCs w:val="20"/>
        </w:rPr>
      </w:pPr>
      <w:r>
        <w:rPr>
          <w:sz w:val="20"/>
          <w:szCs w:val="20"/>
        </w:rPr>
        <w:t> </w:t>
      </w:r>
    </w:p>
    <w:p w14:paraId="16E65781" w14:textId="77777777" w:rsidR="003213F2" w:rsidRDefault="009C165D">
      <w:pPr>
        <w:pStyle w:val="NormalWeb"/>
        <w:spacing w:before="0" w:beforeAutospacing="0" w:after="0" w:afterAutospacing="0"/>
        <w:rPr>
          <w:sz w:val="20"/>
          <w:szCs w:val="20"/>
        </w:rPr>
      </w:pPr>
      <w:r>
        <w:rPr>
          <w:b/>
          <w:bCs/>
          <w:sz w:val="20"/>
          <w:szCs w:val="20"/>
        </w:rPr>
        <w:t>About AbbVie</w:t>
      </w:r>
    </w:p>
    <w:p w14:paraId="1DB7A8D0" w14:textId="77777777" w:rsidR="003213F2" w:rsidRDefault="009C165D">
      <w:pPr>
        <w:pStyle w:val="NormalWeb"/>
        <w:spacing w:before="0" w:beforeAutospacing="0" w:after="0" w:afterAutospacing="0"/>
        <w:rPr>
          <w:sz w:val="20"/>
          <w:szCs w:val="20"/>
        </w:rPr>
      </w:pPr>
      <w:r>
        <w:rPr>
          <w:b/>
          <w:bCs/>
          <w:sz w:val="20"/>
          <w:szCs w:val="20"/>
        </w:rPr>
        <w:t> </w:t>
      </w:r>
    </w:p>
    <w:p w14:paraId="29D3E8D7" w14:textId="77777777" w:rsidR="003213F2" w:rsidRDefault="009C165D">
      <w:pPr>
        <w:pStyle w:val="NormalWeb"/>
        <w:spacing w:before="0" w:beforeAutospacing="0" w:after="0" w:afterAutospacing="0"/>
        <w:rPr>
          <w:sz w:val="20"/>
          <w:szCs w:val="20"/>
        </w:rPr>
      </w:pPr>
      <w:r>
        <w:rPr>
          <w:sz w:val="20"/>
          <w:szCs w:val="20"/>
        </w:rPr>
        <w:t xml:space="preserve">AbbVie's mission is to discover and deliver innovative medicines and solutions that solve serious health issues today and address the medical challenges of tomorrow. We strive to have a remarkable impact on people's lives across several key therapeutic areas including immunology, neuroscience and oncology – and products and services in our Allergan Aesthetics portfolio. For more information about AbbVie, please visit us at </w:t>
      </w:r>
      <w:r>
        <w:rPr>
          <w:sz w:val="20"/>
          <w:szCs w:val="20"/>
          <w:u w:val="single"/>
        </w:rPr>
        <w:t>www.abbvie.com</w:t>
      </w:r>
      <w:r>
        <w:rPr>
          <w:sz w:val="20"/>
          <w:szCs w:val="20"/>
        </w:rPr>
        <w:t xml:space="preserve">. Follow @abbvie on </w:t>
      </w:r>
      <w:r>
        <w:rPr>
          <w:sz w:val="20"/>
          <w:szCs w:val="20"/>
          <w:u w:val="single"/>
        </w:rPr>
        <w:t>LinkedIn</w:t>
      </w:r>
      <w:r>
        <w:rPr>
          <w:sz w:val="20"/>
          <w:szCs w:val="20"/>
        </w:rPr>
        <w:t xml:space="preserve">, </w:t>
      </w:r>
      <w:r>
        <w:rPr>
          <w:sz w:val="20"/>
          <w:szCs w:val="20"/>
          <w:u w:val="single"/>
        </w:rPr>
        <w:t>Facebook</w:t>
      </w:r>
      <w:r>
        <w:rPr>
          <w:sz w:val="20"/>
          <w:szCs w:val="20"/>
        </w:rPr>
        <w:t xml:space="preserve">, </w:t>
      </w:r>
      <w:r>
        <w:rPr>
          <w:sz w:val="20"/>
          <w:szCs w:val="20"/>
          <w:u w:val="single"/>
        </w:rPr>
        <w:t>Instagram</w:t>
      </w:r>
      <w:r>
        <w:rPr>
          <w:sz w:val="20"/>
          <w:szCs w:val="20"/>
        </w:rPr>
        <w:t xml:space="preserve">, </w:t>
      </w:r>
      <w:r>
        <w:rPr>
          <w:sz w:val="20"/>
          <w:szCs w:val="20"/>
          <w:u w:val="single"/>
        </w:rPr>
        <w:t>X</w:t>
      </w:r>
      <w:r>
        <w:rPr>
          <w:sz w:val="20"/>
          <w:szCs w:val="20"/>
        </w:rPr>
        <w:t xml:space="preserve"> and </w:t>
      </w:r>
      <w:r>
        <w:rPr>
          <w:sz w:val="20"/>
          <w:szCs w:val="20"/>
          <w:u w:val="single"/>
        </w:rPr>
        <w:t>YouTube</w:t>
      </w:r>
      <w:r>
        <w:rPr>
          <w:sz w:val="20"/>
          <w:szCs w:val="20"/>
        </w:rPr>
        <w:t>.</w:t>
      </w:r>
    </w:p>
    <w:p w14:paraId="41983933" w14:textId="77777777" w:rsidR="003213F2" w:rsidRDefault="009C165D">
      <w:pPr>
        <w:pStyle w:val="NormalWeb"/>
        <w:spacing w:before="0" w:beforeAutospacing="0" w:after="0" w:afterAutospacing="0"/>
        <w:rPr>
          <w:sz w:val="20"/>
          <w:szCs w:val="20"/>
        </w:rPr>
      </w:pPr>
      <w:r>
        <w:rPr>
          <w:b/>
          <w:bCs/>
          <w:sz w:val="20"/>
          <w:szCs w:val="20"/>
        </w:rPr>
        <w:t> </w:t>
      </w:r>
    </w:p>
    <w:p w14:paraId="07D7431B" w14:textId="77777777" w:rsidR="003213F2" w:rsidRDefault="009C165D">
      <w:pPr>
        <w:pStyle w:val="NormalWeb"/>
        <w:spacing w:before="0" w:beforeAutospacing="0" w:after="0" w:afterAutospacing="0"/>
        <w:rPr>
          <w:sz w:val="20"/>
          <w:szCs w:val="20"/>
        </w:rPr>
      </w:pPr>
      <w:r>
        <w:rPr>
          <w:b/>
          <w:bCs/>
          <w:sz w:val="20"/>
          <w:szCs w:val="20"/>
        </w:rPr>
        <w:t>About Apogee Therapeutics </w:t>
      </w:r>
    </w:p>
    <w:p w14:paraId="683613A9" w14:textId="77777777" w:rsidR="003213F2" w:rsidRDefault="009C165D">
      <w:pPr>
        <w:pStyle w:val="NormalWeb"/>
        <w:spacing w:before="0" w:beforeAutospacing="0" w:after="0" w:afterAutospacing="0"/>
        <w:rPr>
          <w:sz w:val="20"/>
          <w:szCs w:val="20"/>
        </w:rPr>
      </w:pPr>
      <w:r>
        <w:rPr>
          <w:b/>
          <w:bCs/>
          <w:sz w:val="20"/>
          <w:szCs w:val="20"/>
        </w:rPr>
        <w:t> </w:t>
      </w:r>
    </w:p>
    <w:p w14:paraId="7D9D24B7" w14:textId="77777777" w:rsidR="003213F2" w:rsidRDefault="009C165D">
      <w:pPr>
        <w:pStyle w:val="NormalWeb"/>
        <w:spacing w:before="0" w:beforeAutospacing="0" w:after="0" w:afterAutospacing="0"/>
        <w:rPr>
          <w:sz w:val="20"/>
          <w:szCs w:val="20"/>
        </w:rPr>
      </w:pPr>
      <w:r>
        <w:rPr>
          <w:sz w:val="20"/>
          <w:szCs w:val="20"/>
        </w:rPr>
        <w:t>Apogee Therapeutics is a clinical-stage biotechnology company advancing novel biologics with potential for differentiated efficacy and dosing in the largest I&amp;I markets, including for the treatment of AD, asthma, EoE, Chronic Obstructive Pulmonary Disease (COPD) and other I&amp;I indications. Apogee’s antibody programs are designed to overcome limitations of existing therapies by targeting well-established mechanisms of action and incorporating advanced antibody engineering to optimize half-life and other prope</w:t>
      </w:r>
      <w:r>
        <w:rPr>
          <w:sz w:val="20"/>
          <w:szCs w:val="20"/>
        </w:rPr>
        <w:t xml:space="preserve">rties. </w:t>
      </w:r>
      <w:proofErr w:type="spellStart"/>
      <w:r>
        <w:rPr>
          <w:sz w:val="20"/>
          <w:szCs w:val="20"/>
        </w:rPr>
        <w:t>Zumilokibart</w:t>
      </w:r>
      <w:proofErr w:type="spellEnd"/>
      <w:r>
        <w:rPr>
          <w:sz w:val="20"/>
          <w:szCs w:val="20"/>
        </w:rPr>
        <w:t>, the company’s most advanced program, is being initially developed for the treatment of AD, which is the largest and one of the least penetrated I&amp;I markets, as well as asthma and EoE. With four validated targets in its portfolio, Apogee is seeking to achieve best-in-class efficacy and dosing through monotherapies and combinations of its novel antibodies. Based on a broad pipeline and depth of expertise, the company believes it can deliver value and meaningful benefit to patients underse</w:t>
      </w:r>
      <w:r>
        <w:rPr>
          <w:sz w:val="20"/>
          <w:szCs w:val="20"/>
        </w:rPr>
        <w:t>rved by today’s standard of care. For more information, please visit </w:t>
      </w:r>
      <w:r>
        <w:rPr>
          <w:sz w:val="20"/>
          <w:szCs w:val="20"/>
          <w:u w:val="single"/>
        </w:rPr>
        <w:t>https://apogeetherapeutics.com</w:t>
      </w:r>
      <w:r>
        <w:rPr>
          <w:sz w:val="20"/>
          <w:szCs w:val="20"/>
        </w:rPr>
        <w:t>.</w:t>
      </w:r>
    </w:p>
    <w:p w14:paraId="10967705" w14:textId="77777777" w:rsidR="003213F2" w:rsidRDefault="009C165D">
      <w:pPr>
        <w:pStyle w:val="NormalWeb"/>
        <w:spacing w:before="0" w:beforeAutospacing="0" w:after="0" w:afterAutospacing="0"/>
        <w:rPr>
          <w:sz w:val="20"/>
          <w:szCs w:val="20"/>
        </w:rPr>
      </w:pPr>
      <w:r>
        <w:rPr>
          <w:sz w:val="20"/>
          <w:szCs w:val="20"/>
        </w:rPr>
        <w:t> </w:t>
      </w:r>
    </w:p>
    <w:p w14:paraId="7760BC13" w14:textId="77777777" w:rsidR="003213F2" w:rsidRDefault="009C165D">
      <w:pPr>
        <w:pStyle w:val="NormalWeb"/>
        <w:spacing w:before="0" w:beforeAutospacing="0" w:after="0" w:afterAutospacing="0"/>
        <w:divId w:val="834222354"/>
        <w:rPr>
          <w:rFonts w:ascii="Arial" w:hAnsi="Arial" w:cs="Arial"/>
          <w:sz w:val="20"/>
          <w:szCs w:val="20"/>
        </w:rPr>
      </w:pPr>
      <w:r>
        <w:rPr>
          <w:rFonts w:ascii="Arial" w:hAnsi="Arial" w:cs="Arial"/>
          <w:sz w:val="20"/>
          <w:szCs w:val="20"/>
        </w:rPr>
        <w:t> </w:t>
      </w:r>
    </w:p>
    <w:p w14:paraId="551C2D1F" w14:textId="77777777" w:rsidR="003213F2" w:rsidRDefault="009C165D">
      <w:pPr>
        <w:pStyle w:val="NormalWeb"/>
        <w:pageBreakBefore/>
        <w:spacing w:before="0" w:beforeAutospacing="0" w:after="0" w:afterAutospacing="0"/>
        <w:divId w:val="107504777"/>
        <w:rPr>
          <w:rFonts w:ascii="Arial" w:hAnsi="Arial" w:cs="Arial"/>
          <w:sz w:val="20"/>
          <w:szCs w:val="20"/>
        </w:rPr>
      </w:pPr>
      <w:r>
        <w:rPr>
          <w:rFonts w:ascii="Arial" w:hAnsi="Arial" w:cs="Arial"/>
          <w:sz w:val="20"/>
          <w:szCs w:val="20"/>
        </w:rPr>
        <w:lastRenderedPageBreak/>
        <w:t> </w:t>
      </w:r>
    </w:p>
    <w:p w14:paraId="34FBE0CB" w14:textId="77777777" w:rsidR="003213F2" w:rsidRDefault="009C165D">
      <w:pPr>
        <w:pStyle w:val="NormalWeb"/>
        <w:spacing w:before="0" w:beforeAutospacing="0" w:after="0" w:afterAutospacing="0"/>
        <w:rPr>
          <w:sz w:val="20"/>
          <w:szCs w:val="20"/>
        </w:rPr>
      </w:pPr>
      <w:r>
        <w:rPr>
          <w:sz w:val="20"/>
          <w:szCs w:val="20"/>
        </w:rPr>
        <w:t> </w:t>
      </w:r>
    </w:p>
    <w:p w14:paraId="3DEBA01E" w14:textId="77777777" w:rsidR="003213F2" w:rsidRDefault="009C165D">
      <w:pPr>
        <w:pStyle w:val="NormalWeb"/>
        <w:spacing w:before="0" w:beforeAutospacing="0" w:after="0" w:afterAutospacing="0"/>
        <w:rPr>
          <w:sz w:val="20"/>
          <w:szCs w:val="20"/>
        </w:rPr>
      </w:pPr>
      <w:r>
        <w:rPr>
          <w:noProof/>
          <w:sz w:val="20"/>
          <w:szCs w:val="20"/>
        </w:rPr>
        <w:drawing>
          <wp:inline distT="0" distB="0" distL="0" distR="0" wp14:anchorId="6B0AE0FA" wp14:editId="664D1FEB">
            <wp:extent cx="1371600" cy="3333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sz w:val="20"/>
          <w:szCs w:val="20"/>
        </w:rPr>
        <w:t> </w:t>
      </w:r>
    </w:p>
    <w:p w14:paraId="136A669C" w14:textId="77777777" w:rsidR="003213F2" w:rsidRDefault="009C165D">
      <w:pPr>
        <w:pStyle w:val="NormalWeb"/>
        <w:spacing w:before="0" w:beforeAutospacing="0" w:after="0" w:afterAutospacing="0"/>
        <w:rPr>
          <w:sz w:val="20"/>
          <w:szCs w:val="20"/>
        </w:rPr>
      </w:pPr>
      <w:r>
        <w:rPr>
          <w:sz w:val="20"/>
          <w:szCs w:val="20"/>
        </w:rPr>
        <w:t> </w:t>
      </w:r>
    </w:p>
    <w:p w14:paraId="73EF1BA0" w14:textId="77777777" w:rsidR="003213F2" w:rsidRDefault="009C165D">
      <w:pPr>
        <w:pStyle w:val="NormalWeb"/>
        <w:spacing w:before="0" w:beforeAutospacing="0" w:after="0" w:afterAutospacing="0"/>
        <w:rPr>
          <w:sz w:val="20"/>
          <w:szCs w:val="20"/>
        </w:rPr>
      </w:pPr>
      <w:r>
        <w:rPr>
          <w:b/>
          <w:bCs/>
          <w:sz w:val="20"/>
          <w:szCs w:val="20"/>
        </w:rPr>
        <w:t>Cautionary Statement Regarding Forward-Looking Statements</w:t>
      </w:r>
      <w:r>
        <w:rPr>
          <w:sz w:val="20"/>
          <w:szCs w:val="20"/>
        </w:rPr>
        <w:t> </w:t>
      </w:r>
    </w:p>
    <w:p w14:paraId="3703C8BB" w14:textId="77777777" w:rsidR="003213F2" w:rsidRDefault="009C165D">
      <w:pPr>
        <w:pStyle w:val="NormalWeb"/>
        <w:spacing w:before="0" w:beforeAutospacing="0" w:after="0" w:afterAutospacing="0"/>
        <w:rPr>
          <w:sz w:val="20"/>
          <w:szCs w:val="20"/>
        </w:rPr>
      </w:pPr>
      <w:r>
        <w:rPr>
          <w:sz w:val="20"/>
          <w:szCs w:val="20"/>
        </w:rPr>
        <w:t> </w:t>
      </w:r>
    </w:p>
    <w:p w14:paraId="27386E4D" w14:textId="77777777" w:rsidR="003213F2" w:rsidRDefault="009C165D">
      <w:pPr>
        <w:pStyle w:val="NormalWeb"/>
        <w:spacing w:before="0" w:beforeAutospacing="0" w:after="0" w:afterAutospacing="0"/>
        <w:rPr>
          <w:sz w:val="20"/>
          <w:szCs w:val="20"/>
        </w:rPr>
      </w:pPr>
      <w:r>
        <w:rPr>
          <w:sz w:val="20"/>
          <w:szCs w:val="20"/>
        </w:rPr>
        <w:t>This communication contains statements that constitute “forward-looking statements” within the meaning of the Private Securities Litigation Reform Act of 1995, Section 27A of the Securities Act of 1933 and Section 21E of the Securities Exchange Act of 1934, each as amended. All statements other than statements of historical fact, including statements regarding market and industry prospects and future results of operations or financial position made in this communication are forward-looking. In many cases, y</w:t>
      </w:r>
      <w:r>
        <w:rPr>
          <w:sz w:val="20"/>
          <w:szCs w:val="20"/>
        </w:rPr>
        <w:t>ou can identify forward-looking statements by terminology, such as “may,” “should,” “expects,” “intends,” “plans,” “anticipates,” “believes,” “estimates,” “predicts,” “potential,” “continue” or the negative of such terms and other comparable terminology. Statements in this communication that are forward-looking may include, but are not limited to, statements regarding the benefits of the proposed acquisition of Apogee Therapeutics, Inc. (“Apogee”) by AbbVie Inc. (“AbbVie”) and the associated integration pla</w:t>
      </w:r>
      <w:r>
        <w:rPr>
          <w:sz w:val="20"/>
          <w:szCs w:val="20"/>
        </w:rPr>
        <w:t xml:space="preserve">ns, anticipated future operating performance and results of Apogee, the expected accretion to AbbVie’s adjusted diluted earnings per share beginning in 2032, the expected timing of the closing of the proposed acquisition and other transactions contemplated by the merger agreement governing the proposed acquisition (the “Merger Agreement”), and the potential of </w:t>
      </w:r>
      <w:proofErr w:type="spellStart"/>
      <w:r>
        <w:rPr>
          <w:sz w:val="20"/>
          <w:szCs w:val="20"/>
        </w:rPr>
        <w:t>zumilokibart</w:t>
      </w:r>
      <w:proofErr w:type="spellEnd"/>
      <w:r>
        <w:rPr>
          <w:sz w:val="20"/>
          <w:szCs w:val="20"/>
        </w:rPr>
        <w:t xml:space="preserve"> (APG777) and other Apogee’s pipeline assets.</w:t>
      </w:r>
    </w:p>
    <w:p w14:paraId="3AEC3493"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12A9B283" w14:textId="77777777" w:rsidR="003213F2" w:rsidRDefault="009C165D">
      <w:pPr>
        <w:pStyle w:val="NormalWeb"/>
        <w:spacing w:before="0" w:beforeAutospacing="0" w:after="0" w:afterAutospacing="0"/>
        <w:rPr>
          <w:sz w:val="20"/>
          <w:szCs w:val="20"/>
        </w:rPr>
      </w:pPr>
      <w:r>
        <w:rPr>
          <w:sz w:val="20"/>
          <w:szCs w:val="20"/>
        </w:rPr>
        <w:t xml:space="preserve">There may also be other statements of expectations, beliefs, </w:t>
      </w:r>
      <w:proofErr w:type="gramStart"/>
      <w:r>
        <w:rPr>
          <w:sz w:val="20"/>
          <w:szCs w:val="20"/>
        </w:rPr>
        <w:t>future plans</w:t>
      </w:r>
      <w:proofErr w:type="gramEnd"/>
      <w:r>
        <w:rPr>
          <w:sz w:val="20"/>
          <w:szCs w:val="20"/>
        </w:rPr>
        <w:t xml:space="preserve"> and strategies, anticipated events or trends and similar expressions concerning matters that are not historical facts. Readers are cautioned that any such forward-looking statements are not guarantees of future performance and involve risks and uncertainties, many of which are difficult to predict and are generally outside Apogee’s control, that could cause actual performance or results to differ materially from those expressed in, or implied or projected by, the forward-looking statements. Suc</w:t>
      </w:r>
      <w:r>
        <w:rPr>
          <w:sz w:val="20"/>
          <w:szCs w:val="20"/>
        </w:rPr>
        <w:t>h risks and uncertainties include, but are not limited to: the occurrence of any event, change or other circumstance that could give rise to the right of Apogee or AbbVie or both of them to terminate the Merger Agreement, including circumstances requiring a party to pay the other party a termination fee pursuant to the Merger Agreement; the failure to obtain applicable regulatory or Apogee stockholder approval in a timely manner or otherwise; the risk that the proposed acquisition may not close in the antic</w:t>
      </w:r>
      <w:r>
        <w:rPr>
          <w:sz w:val="20"/>
          <w:szCs w:val="20"/>
        </w:rPr>
        <w:t>ipated timeframe or at all due to one or more of the other closing conditions to the transaction not being satisfied or waived; the possibility of competing acquisition proposals for Apogee; the risk that there may be unexpected costs, charges or expenses resulting from the proposed acquisition; risks related to the ability of Apogee and AbbVie to successfully integrate the businesses and the possibility that such integration may be more difficult, time consuming or costly than expected; risks that the prop</w:t>
      </w:r>
      <w:r>
        <w:rPr>
          <w:sz w:val="20"/>
          <w:szCs w:val="20"/>
        </w:rPr>
        <w:t>osed transaction disrupts Apogee’s or AbbVie’s current plans and operations; the risk that certain restrictions during the pendency of the proposed transaction may impact Apogee’s ability to pursue certain business opportunities or strategic transactions; risks related to disruption of each company’s management’s time and attention from ongoing business operations due to the proposed transaction; the risk that any announcements relating to the proposed transaction could have adverse effects on the market pr</w:t>
      </w:r>
      <w:r>
        <w:rPr>
          <w:sz w:val="20"/>
          <w:szCs w:val="20"/>
        </w:rPr>
        <w:t>ice of Apogee’s and/or AbbVie’s common stock, credit ratings or operating results; the risk that the proposed transaction and its announcement could have an adverse effect on the ability of Apogee and AbbVie to retain and hire key personnel, to retain customers and to maintain relationships with each of their respective business partners, suppliers and customers and on their respective operating results and businesses generally; the risk of litigation that could be instituted against the parties to the Merg</w:t>
      </w:r>
      <w:r>
        <w:rPr>
          <w:sz w:val="20"/>
          <w:szCs w:val="20"/>
        </w:rPr>
        <w:t xml:space="preserve">er Agreement or their respective directors, managers or officers and/or regulatory actions related to the proposed acquisition, including the effects of any outcomes related thereto; the risk that </w:t>
      </w:r>
      <w:proofErr w:type="spellStart"/>
      <w:r>
        <w:rPr>
          <w:sz w:val="20"/>
          <w:szCs w:val="20"/>
        </w:rPr>
        <w:t>zumilokibart</w:t>
      </w:r>
      <w:proofErr w:type="spellEnd"/>
      <w:r>
        <w:rPr>
          <w:sz w:val="20"/>
          <w:szCs w:val="20"/>
        </w:rPr>
        <w:t xml:space="preserve"> (APG777) or APG273 and other Apogee’s pipeline assets may not demonstrate the anticipated success, safety, or efficacy in ongoing or future clinical trials; the risk that positive Phase 2 and Phase 1b interim results for </w:t>
      </w:r>
      <w:proofErr w:type="spellStart"/>
      <w:r>
        <w:rPr>
          <w:sz w:val="20"/>
          <w:szCs w:val="20"/>
        </w:rPr>
        <w:t>zumilokibart</w:t>
      </w:r>
      <w:proofErr w:type="spellEnd"/>
      <w:r>
        <w:rPr>
          <w:sz w:val="20"/>
          <w:szCs w:val="20"/>
        </w:rPr>
        <w:t xml:space="preserve"> (APG777) may not be predictive of results in later-stage or larger c</w:t>
      </w:r>
      <w:r>
        <w:rPr>
          <w:sz w:val="20"/>
          <w:szCs w:val="20"/>
        </w:rPr>
        <w:t xml:space="preserve">linical trials; challenges to intellectual property; adverse litigation or government action; competition from other products; difficulties inherent in the research and development process; risks related to unpredictable and severe or catastrophic events, including but not limited to acts of terrorism, war or hostilities, </w:t>
      </w:r>
      <w:proofErr w:type="spellStart"/>
      <w:r>
        <w:rPr>
          <w:sz w:val="20"/>
          <w:szCs w:val="20"/>
        </w:rPr>
        <w:t>cyber attacks</w:t>
      </w:r>
      <w:proofErr w:type="spellEnd"/>
      <w:r>
        <w:rPr>
          <w:sz w:val="20"/>
          <w:szCs w:val="20"/>
        </w:rPr>
        <w:t>, or the impact of any pandemic, epidemic or outbreak of an infectious disease in the United States or worldwide on Apogee’s or AbbVie’s business, financial condition and resu</w:t>
      </w:r>
      <w:r>
        <w:rPr>
          <w:sz w:val="20"/>
          <w:szCs w:val="20"/>
        </w:rPr>
        <w:t xml:space="preserve">lts of operations, as well as the </w:t>
      </w:r>
      <w:r>
        <w:rPr>
          <w:sz w:val="20"/>
          <w:szCs w:val="20"/>
        </w:rPr>
        <w:lastRenderedPageBreak/>
        <w:t>response thereto by each company’s management; and other business effects, including the effects of industry, market, economic, political or regulatory conditions.</w:t>
      </w:r>
    </w:p>
    <w:p w14:paraId="13320D88"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023DC7E4" w14:textId="77777777" w:rsidR="003213F2" w:rsidRDefault="009C165D">
      <w:pPr>
        <w:pStyle w:val="NormalWeb"/>
        <w:spacing w:before="0" w:beforeAutospacing="0" w:after="0" w:afterAutospacing="0"/>
        <w:divId w:val="205607970"/>
        <w:rPr>
          <w:rFonts w:ascii="Arial" w:hAnsi="Arial" w:cs="Arial"/>
          <w:sz w:val="20"/>
          <w:szCs w:val="20"/>
        </w:rPr>
      </w:pPr>
      <w:r>
        <w:rPr>
          <w:rFonts w:ascii="Arial" w:hAnsi="Arial" w:cs="Arial"/>
          <w:sz w:val="20"/>
          <w:szCs w:val="20"/>
        </w:rPr>
        <w:t> </w:t>
      </w:r>
    </w:p>
    <w:p w14:paraId="172A331F" w14:textId="77777777" w:rsidR="003213F2" w:rsidRDefault="009C165D">
      <w:pPr>
        <w:pStyle w:val="NormalWeb"/>
        <w:pageBreakBefore/>
        <w:spacing w:before="0" w:beforeAutospacing="0" w:after="0" w:afterAutospacing="0"/>
        <w:divId w:val="872038436"/>
        <w:rPr>
          <w:rFonts w:ascii="Arial" w:hAnsi="Arial" w:cs="Arial"/>
          <w:sz w:val="20"/>
          <w:szCs w:val="20"/>
        </w:rPr>
      </w:pPr>
      <w:r>
        <w:rPr>
          <w:rFonts w:ascii="Arial" w:hAnsi="Arial" w:cs="Arial"/>
          <w:sz w:val="20"/>
          <w:szCs w:val="20"/>
        </w:rPr>
        <w:lastRenderedPageBreak/>
        <w:t> </w:t>
      </w:r>
    </w:p>
    <w:p w14:paraId="48F7F611"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6BA7D7CB" w14:textId="77777777" w:rsidR="003213F2" w:rsidRDefault="009C165D">
      <w:pPr>
        <w:pStyle w:val="NormalWeb"/>
        <w:spacing w:before="0" w:beforeAutospacing="0" w:after="0" w:afterAutospacing="0"/>
        <w:rPr>
          <w:color w:val="4C4C4C"/>
          <w:sz w:val="20"/>
          <w:szCs w:val="20"/>
        </w:rPr>
      </w:pPr>
      <w:r>
        <w:rPr>
          <w:noProof/>
          <w:color w:val="4C4C4C"/>
          <w:sz w:val="20"/>
          <w:szCs w:val="20"/>
        </w:rPr>
        <w:drawing>
          <wp:inline distT="0" distB="0" distL="0" distR="0" wp14:anchorId="29C397DC" wp14:editId="37CE6D50">
            <wp:extent cx="1371600" cy="333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color w:val="4C4C4C"/>
          <w:sz w:val="20"/>
          <w:szCs w:val="20"/>
        </w:rPr>
        <w:t> </w:t>
      </w:r>
    </w:p>
    <w:p w14:paraId="210E7CFC"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43DD9B4D" w14:textId="77777777" w:rsidR="003213F2" w:rsidRDefault="009C165D">
      <w:pPr>
        <w:pStyle w:val="NormalWeb"/>
        <w:spacing w:before="0" w:beforeAutospacing="0" w:after="0" w:afterAutospacing="0"/>
        <w:jc w:val="both"/>
        <w:rPr>
          <w:sz w:val="20"/>
          <w:szCs w:val="20"/>
        </w:rPr>
      </w:pPr>
      <w:r>
        <w:rPr>
          <w:sz w:val="20"/>
          <w:szCs w:val="20"/>
        </w:rPr>
        <w:t>Also, AbbVie’s and Apogee’s actual results may differ materially from those contemplated by the forward-looking statements for a number of additional reasons as described in AbbVie’s and Apogee’s filings with the Securities and Exchange Commission (the “SEC”), including those set forth in the Risk Factors section and under any “Forward-Looking Statements” or similar heading in AbbVie’s and Apogee’s most recently filed Annual Report on Form 10-K filed on February 20, 2026 and March 2, 2026, respectively, and</w:t>
      </w:r>
      <w:r>
        <w:rPr>
          <w:sz w:val="20"/>
          <w:szCs w:val="20"/>
        </w:rPr>
        <w:t xml:space="preserve"> subsequent Quarterly Reports on Form 10-Q and Current Reports on Form 8-K.</w:t>
      </w:r>
    </w:p>
    <w:p w14:paraId="279BA4F4" w14:textId="77777777" w:rsidR="003213F2" w:rsidRDefault="009C165D">
      <w:pPr>
        <w:pStyle w:val="NormalWeb"/>
        <w:spacing w:before="0" w:beforeAutospacing="0" w:after="0" w:afterAutospacing="0"/>
        <w:rPr>
          <w:sz w:val="20"/>
          <w:szCs w:val="20"/>
        </w:rPr>
      </w:pPr>
      <w:r>
        <w:rPr>
          <w:sz w:val="20"/>
          <w:szCs w:val="20"/>
        </w:rPr>
        <w:t> </w:t>
      </w:r>
    </w:p>
    <w:p w14:paraId="1913DF2A" w14:textId="77777777" w:rsidR="003213F2" w:rsidRDefault="009C165D">
      <w:pPr>
        <w:pStyle w:val="NormalWeb"/>
        <w:spacing w:before="0" w:beforeAutospacing="0" w:after="0" w:afterAutospacing="0"/>
        <w:rPr>
          <w:sz w:val="20"/>
          <w:szCs w:val="20"/>
        </w:rPr>
      </w:pPr>
      <w:r>
        <w:rPr>
          <w:sz w:val="20"/>
          <w:szCs w:val="20"/>
        </w:rPr>
        <w:t>AbbVie and Apogee have based these forward-looking statements on their current expectations and projections about future events. Although the parties believe that the assumptions on which the forward-looking statements contained herein are based are reasonable, any of those assumptions could prove to be inaccurate. As a result, the forward-looking statements based upon those assumptions also could be incorrect. Except to the extent required by law, AbbVie and Apogee undertake no obligation to publicly updat</w:t>
      </w:r>
      <w:r>
        <w:rPr>
          <w:sz w:val="20"/>
          <w:szCs w:val="20"/>
        </w:rPr>
        <w:t xml:space="preserve">e or revise any forward-looking statements, whether </w:t>
      </w:r>
      <w:proofErr w:type="gramStart"/>
      <w:r>
        <w:rPr>
          <w:sz w:val="20"/>
          <w:szCs w:val="20"/>
        </w:rPr>
        <w:t>as a result of</w:t>
      </w:r>
      <w:proofErr w:type="gramEnd"/>
      <w:r>
        <w:rPr>
          <w:sz w:val="20"/>
          <w:szCs w:val="20"/>
        </w:rPr>
        <w:t xml:space="preserve"> new information, future events or otherwise.</w:t>
      </w:r>
    </w:p>
    <w:p w14:paraId="2A64FC6A" w14:textId="77777777" w:rsidR="003213F2" w:rsidRDefault="009C165D">
      <w:pPr>
        <w:pStyle w:val="NormalWeb"/>
        <w:spacing w:before="0" w:beforeAutospacing="0" w:after="0" w:afterAutospacing="0"/>
        <w:rPr>
          <w:sz w:val="20"/>
          <w:szCs w:val="20"/>
        </w:rPr>
      </w:pPr>
      <w:r>
        <w:rPr>
          <w:sz w:val="20"/>
          <w:szCs w:val="20"/>
        </w:rPr>
        <w:t> </w:t>
      </w:r>
    </w:p>
    <w:p w14:paraId="7F344426" w14:textId="77777777" w:rsidR="003213F2" w:rsidRDefault="009C165D">
      <w:pPr>
        <w:pStyle w:val="NormalWeb"/>
        <w:spacing w:before="0" w:beforeAutospacing="0" w:after="0" w:afterAutospacing="0"/>
        <w:divId w:val="782456076"/>
        <w:rPr>
          <w:rFonts w:ascii="Arial" w:hAnsi="Arial" w:cs="Arial"/>
          <w:sz w:val="20"/>
          <w:szCs w:val="20"/>
        </w:rPr>
      </w:pPr>
      <w:r>
        <w:rPr>
          <w:rFonts w:ascii="Arial" w:hAnsi="Arial" w:cs="Arial"/>
          <w:sz w:val="20"/>
          <w:szCs w:val="20"/>
        </w:rPr>
        <w:t> </w:t>
      </w:r>
    </w:p>
    <w:p w14:paraId="13275740" w14:textId="77777777" w:rsidR="003213F2" w:rsidRDefault="009C165D">
      <w:pPr>
        <w:pStyle w:val="NormalWeb"/>
        <w:pageBreakBefore/>
        <w:spacing w:before="0" w:beforeAutospacing="0" w:after="0" w:afterAutospacing="0"/>
        <w:divId w:val="1436753539"/>
        <w:rPr>
          <w:rFonts w:ascii="Arial" w:hAnsi="Arial" w:cs="Arial"/>
          <w:sz w:val="20"/>
          <w:szCs w:val="20"/>
        </w:rPr>
      </w:pPr>
      <w:r>
        <w:rPr>
          <w:rFonts w:ascii="Arial" w:hAnsi="Arial" w:cs="Arial"/>
          <w:sz w:val="20"/>
          <w:szCs w:val="20"/>
        </w:rPr>
        <w:lastRenderedPageBreak/>
        <w:t> </w:t>
      </w:r>
    </w:p>
    <w:p w14:paraId="674AE606"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3F6761BA" w14:textId="77777777" w:rsidR="003213F2" w:rsidRDefault="009C165D">
      <w:pPr>
        <w:pStyle w:val="NormalWeb"/>
        <w:spacing w:before="0" w:beforeAutospacing="0" w:after="0" w:afterAutospacing="0"/>
        <w:rPr>
          <w:color w:val="4C4C4C"/>
          <w:sz w:val="20"/>
          <w:szCs w:val="20"/>
        </w:rPr>
      </w:pPr>
      <w:r>
        <w:rPr>
          <w:noProof/>
          <w:color w:val="4C4C4C"/>
          <w:sz w:val="20"/>
          <w:szCs w:val="20"/>
        </w:rPr>
        <w:drawing>
          <wp:inline distT="0" distB="0" distL="0" distR="0" wp14:anchorId="21B0A8B6" wp14:editId="054461F8">
            <wp:extent cx="1371600" cy="333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color w:val="4C4C4C"/>
          <w:sz w:val="20"/>
          <w:szCs w:val="20"/>
        </w:rPr>
        <w:t> </w:t>
      </w:r>
    </w:p>
    <w:p w14:paraId="7C1CE579"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7B9C490A" w14:textId="77777777" w:rsidR="003213F2" w:rsidRDefault="009C165D">
      <w:pPr>
        <w:pStyle w:val="NormalWeb"/>
        <w:spacing w:before="0" w:beforeAutospacing="0" w:after="0" w:afterAutospacing="0"/>
        <w:rPr>
          <w:sz w:val="20"/>
          <w:szCs w:val="20"/>
        </w:rPr>
      </w:pPr>
      <w:r>
        <w:rPr>
          <w:b/>
          <w:bCs/>
          <w:sz w:val="20"/>
          <w:szCs w:val="20"/>
        </w:rPr>
        <w:t>Additional Information and Where to Find It</w:t>
      </w:r>
    </w:p>
    <w:p w14:paraId="35AB0F07" w14:textId="77777777" w:rsidR="003213F2" w:rsidRDefault="009C165D">
      <w:pPr>
        <w:pStyle w:val="NormalWeb"/>
        <w:spacing w:before="0" w:beforeAutospacing="0" w:after="0" w:afterAutospacing="0"/>
        <w:rPr>
          <w:sz w:val="20"/>
          <w:szCs w:val="20"/>
        </w:rPr>
      </w:pPr>
      <w:r>
        <w:rPr>
          <w:sz w:val="20"/>
          <w:szCs w:val="20"/>
        </w:rPr>
        <w:t> </w:t>
      </w:r>
    </w:p>
    <w:p w14:paraId="7E6C45E6" w14:textId="77777777" w:rsidR="003213F2" w:rsidRDefault="009C165D">
      <w:pPr>
        <w:pStyle w:val="NormalWeb"/>
        <w:spacing w:before="0" w:beforeAutospacing="0" w:after="0" w:afterAutospacing="0"/>
        <w:rPr>
          <w:sz w:val="20"/>
          <w:szCs w:val="20"/>
        </w:rPr>
      </w:pPr>
      <w:r>
        <w:rPr>
          <w:sz w:val="20"/>
          <w:szCs w:val="20"/>
        </w:rPr>
        <w:t>This communication is being made in respect of the proposed transaction involving Apogee and AbbVie. A meeting of the stockholders of Apogee will be announced as promptly as practicable to seek Apogee stockholder approval in connection with the proposed transaction. Apogee intends to file relevant materials with the SEC, including preliminary and definitive proxy statements relating to the proposed transaction. The definitive proxy statement will be mailed to Apogee’s stockholders. This communication is not</w:t>
      </w:r>
      <w:r>
        <w:rPr>
          <w:sz w:val="20"/>
          <w:szCs w:val="20"/>
        </w:rPr>
        <w:t xml:space="preserve"> a substitute for the proxy statement or any other document that may be filed by Apogee with the SEC.</w:t>
      </w:r>
    </w:p>
    <w:p w14:paraId="1AC277E7"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317E8966" w14:textId="77777777" w:rsidR="003213F2" w:rsidRDefault="009C165D">
      <w:pPr>
        <w:pStyle w:val="NormalWeb"/>
        <w:spacing w:before="0" w:beforeAutospacing="0" w:after="0" w:afterAutospacing="0"/>
        <w:rPr>
          <w:sz w:val="20"/>
          <w:szCs w:val="20"/>
        </w:rPr>
      </w:pPr>
      <w:r>
        <w:rPr>
          <w:sz w:val="20"/>
          <w:szCs w:val="20"/>
        </w:rPr>
        <w:t>BEFORE MAKING ANY DECISION, APOGEE STOCKHOLDERS ARE URGED TO CAREFULLY READ THE PRELIMINARY AND DEFINITIVE PROXY STATEMENTS (INCLUDING ANY AMENDMENTS OR SUPPLEMENTS THERETO) AND ANY OTHER RELEVANT DOCUMENTS FILED OR TO BE FILED WITH THE SEC IN CONNECTION WITH THE PROPOSED TRANSACTION OR INCORPORATED BY REFERENCE INTO THE PROXY STATEMENT WHEN THEY BECOME AVAILABLE BECAUSE THEY WILL CONTAIN IMPORTANT INFORMATION ABOUT THE PROPOSED TRANSACTION.</w:t>
      </w:r>
    </w:p>
    <w:p w14:paraId="5E69D589" w14:textId="77777777" w:rsidR="003213F2" w:rsidRDefault="009C165D">
      <w:pPr>
        <w:pStyle w:val="NormalWeb"/>
        <w:spacing w:before="0" w:beforeAutospacing="0" w:after="0" w:afterAutospacing="0"/>
        <w:rPr>
          <w:color w:val="4C4C4C"/>
          <w:sz w:val="20"/>
          <w:szCs w:val="20"/>
        </w:rPr>
      </w:pPr>
      <w:r>
        <w:rPr>
          <w:color w:val="4C4C4C"/>
          <w:sz w:val="20"/>
          <w:szCs w:val="20"/>
        </w:rPr>
        <w:t> </w:t>
      </w:r>
    </w:p>
    <w:p w14:paraId="1D31CD8D" w14:textId="77777777" w:rsidR="003213F2" w:rsidRDefault="009C165D">
      <w:pPr>
        <w:pStyle w:val="NormalWeb"/>
        <w:spacing w:before="0" w:beforeAutospacing="0" w:after="0" w:afterAutospacing="0"/>
        <w:rPr>
          <w:sz w:val="20"/>
          <w:szCs w:val="20"/>
        </w:rPr>
      </w:pPr>
      <w:r>
        <w:rPr>
          <w:sz w:val="20"/>
          <w:szCs w:val="20"/>
        </w:rPr>
        <w:t xml:space="preserve">Any vote in respect of resolutions to be proposed at Apogee’s stockholder meeting to approve the proposed transaction or other responses in relation to the proposed transaction should be made only </w:t>
      </w:r>
      <w:proofErr w:type="gramStart"/>
      <w:r>
        <w:rPr>
          <w:sz w:val="20"/>
          <w:szCs w:val="20"/>
        </w:rPr>
        <w:t>on the basis of</w:t>
      </w:r>
      <w:proofErr w:type="gramEnd"/>
      <w:r>
        <w:rPr>
          <w:sz w:val="20"/>
          <w:szCs w:val="20"/>
        </w:rPr>
        <w:t xml:space="preserve"> the information contained in Apogee’s proxy statement. You will be able to obtain a free copy of the proxy statement and other related documents (when available) filed by Apogee with the SEC at the website maintained by the SEC at </w:t>
      </w:r>
      <w:r>
        <w:rPr>
          <w:sz w:val="20"/>
          <w:szCs w:val="20"/>
          <w:u w:val="single"/>
        </w:rPr>
        <w:t>www.sec.gov</w:t>
      </w:r>
      <w:r>
        <w:rPr>
          <w:sz w:val="20"/>
          <w:szCs w:val="20"/>
        </w:rPr>
        <w:t xml:space="preserve"> or by accessing the Investors section of Apogee’s website at </w:t>
      </w:r>
      <w:r>
        <w:rPr>
          <w:sz w:val="20"/>
          <w:szCs w:val="20"/>
          <w:u w:val="single"/>
        </w:rPr>
        <w:t>https://investors.apogeetherapeutics.com</w:t>
      </w:r>
      <w:r>
        <w:rPr>
          <w:sz w:val="20"/>
          <w:szCs w:val="20"/>
        </w:rPr>
        <w:t>.</w:t>
      </w:r>
    </w:p>
    <w:p w14:paraId="1AA75977" w14:textId="77777777" w:rsidR="003213F2" w:rsidRDefault="009C165D">
      <w:pPr>
        <w:pStyle w:val="NormalWeb"/>
        <w:spacing w:before="0" w:beforeAutospacing="0" w:after="0" w:afterAutospacing="0"/>
        <w:rPr>
          <w:sz w:val="20"/>
          <w:szCs w:val="20"/>
        </w:rPr>
      </w:pPr>
      <w:r>
        <w:rPr>
          <w:sz w:val="20"/>
          <w:szCs w:val="20"/>
        </w:rPr>
        <w:t> </w:t>
      </w:r>
    </w:p>
    <w:p w14:paraId="211FE966" w14:textId="77777777" w:rsidR="003213F2" w:rsidRDefault="009C165D">
      <w:pPr>
        <w:pStyle w:val="NormalWeb"/>
        <w:spacing w:before="0" w:beforeAutospacing="0" w:after="0" w:afterAutospacing="0"/>
        <w:rPr>
          <w:sz w:val="20"/>
          <w:szCs w:val="20"/>
        </w:rPr>
      </w:pPr>
      <w:r>
        <w:rPr>
          <w:b/>
          <w:bCs/>
          <w:sz w:val="20"/>
          <w:szCs w:val="20"/>
        </w:rPr>
        <w:t>No Offer or Solicitation</w:t>
      </w:r>
    </w:p>
    <w:p w14:paraId="6049A640" w14:textId="77777777" w:rsidR="003213F2" w:rsidRDefault="009C165D">
      <w:pPr>
        <w:pStyle w:val="NormalWeb"/>
        <w:spacing w:before="0" w:beforeAutospacing="0" w:after="0" w:afterAutospacing="0"/>
        <w:rPr>
          <w:sz w:val="20"/>
          <w:szCs w:val="20"/>
        </w:rPr>
      </w:pPr>
      <w:r>
        <w:rPr>
          <w:b/>
          <w:bCs/>
          <w:sz w:val="20"/>
          <w:szCs w:val="20"/>
        </w:rPr>
        <w:t> </w:t>
      </w:r>
    </w:p>
    <w:p w14:paraId="047BC7EF" w14:textId="77777777" w:rsidR="003213F2" w:rsidRDefault="009C165D">
      <w:pPr>
        <w:pStyle w:val="NormalWeb"/>
        <w:spacing w:before="0" w:beforeAutospacing="0" w:after="0" w:afterAutospacing="0"/>
        <w:rPr>
          <w:sz w:val="20"/>
          <w:szCs w:val="20"/>
        </w:rPr>
      </w:pPr>
      <w:r>
        <w:rPr>
          <w:sz w:val="20"/>
          <w:szCs w:val="20"/>
        </w:rPr>
        <w:t>This communication is for informational purposes only and is not intended to, and does not constitute or form part of, an offer, invitation or the solicitation of an offer or invitation to purchase, otherwise acquire, subscribe for, sell or otherwise dispose of any securities, or the solicitation of any vote or approval in any jurisdiction, pursuant to the proposed transaction or otherwise, nor shall there be any sale, issuance or transfer of securities in any jurisdiction in contravention of applicable law</w:t>
      </w:r>
      <w:r>
        <w:rPr>
          <w:sz w:val="20"/>
          <w:szCs w:val="20"/>
        </w:rPr>
        <w:t>.</w:t>
      </w:r>
    </w:p>
    <w:p w14:paraId="1BB1D7C5" w14:textId="77777777" w:rsidR="003213F2" w:rsidRDefault="009C165D">
      <w:pPr>
        <w:pStyle w:val="NormalWeb"/>
        <w:spacing w:before="0" w:beforeAutospacing="0" w:after="0" w:afterAutospacing="0"/>
        <w:rPr>
          <w:sz w:val="20"/>
          <w:szCs w:val="20"/>
        </w:rPr>
      </w:pPr>
      <w:r>
        <w:rPr>
          <w:sz w:val="20"/>
          <w:szCs w:val="20"/>
        </w:rPr>
        <w:t> </w:t>
      </w:r>
    </w:p>
    <w:p w14:paraId="10AF6009" w14:textId="77777777" w:rsidR="003213F2" w:rsidRDefault="009C165D">
      <w:pPr>
        <w:pStyle w:val="NormalWeb"/>
        <w:spacing w:before="0" w:beforeAutospacing="0" w:after="0" w:afterAutospacing="0"/>
        <w:divId w:val="257564765"/>
        <w:rPr>
          <w:rFonts w:ascii="Arial" w:hAnsi="Arial" w:cs="Arial"/>
          <w:sz w:val="20"/>
          <w:szCs w:val="20"/>
        </w:rPr>
      </w:pPr>
      <w:r>
        <w:rPr>
          <w:rFonts w:ascii="Arial" w:hAnsi="Arial" w:cs="Arial"/>
          <w:sz w:val="20"/>
          <w:szCs w:val="20"/>
        </w:rPr>
        <w:t> </w:t>
      </w:r>
    </w:p>
    <w:p w14:paraId="3303E6FA" w14:textId="77777777" w:rsidR="003213F2" w:rsidRDefault="009C165D">
      <w:pPr>
        <w:pStyle w:val="NormalWeb"/>
        <w:pageBreakBefore/>
        <w:spacing w:before="0" w:beforeAutospacing="0" w:after="0" w:afterAutospacing="0"/>
        <w:divId w:val="625432900"/>
        <w:rPr>
          <w:rFonts w:ascii="Arial" w:hAnsi="Arial" w:cs="Arial"/>
          <w:sz w:val="20"/>
          <w:szCs w:val="20"/>
        </w:rPr>
      </w:pPr>
      <w:r>
        <w:rPr>
          <w:rFonts w:ascii="Arial" w:hAnsi="Arial" w:cs="Arial"/>
          <w:sz w:val="20"/>
          <w:szCs w:val="20"/>
        </w:rPr>
        <w:lastRenderedPageBreak/>
        <w:t> </w:t>
      </w:r>
    </w:p>
    <w:p w14:paraId="37C0D704" w14:textId="77777777" w:rsidR="003213F2" w:rsidRDefault="009C165D">
      <w:pPr>
        <w:pStyle w:val="NormalWeb"/>
        <w:spacing w:before="0" w:beforeAutospacing="0" w:after="0" w:afterAutospacing="0"/>
        <w:rPr>
          <w:sz w:val="20"/>
          <w:szCs w:val="20"/>
        </w:rPr>
      </w:pPr>
      <w:r>
        <w:rPr>
          <w:sz w:val="20"/>
          <w:szCs w:val="20"/>
        </w:rPr>
        <w:t> </w:t>
      </w:r>
    </w:p>
    <w:p w14:paraId="7C059841" w14:textId="77777777" w:rsidR="003213F2" w:rsidRDefault="009C165D">
      <w:pPr>
        <w:pStyle w:val="NormalWeb"/>
        <w:spacing w:before="0" w:beforeAutospacing="0" w:after="0" w:afterAutospacing="0"/>
        <w:rPr>
          <w:sz w:val="20"/>
          <w:szCs w:val="20"/>
        </w:rPr>
      </w:pPr>
      <w:r>
        <w:rPr>
          <w:noProof/>
          <w:sz w:val="20"/>
          <w:szCs w:val="20"/>
        </w:rPr>
        <w:drawing>
          <wp:inline distT="0" distB="0" distL="0" distR="0" wp14:anchorId="24099FF7" wp14:editId="2B6F1AA5">
            <wp:extent cx="1371600" cy="3333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r>
        <w:rPr>
          <w:sz w:val="20"/>
          <w:szCs w:val="20"/>
        </w:rPr>
        <w:t> </w:t>
      </w:r>
    </w:p>
    <w:p w14:paraId="7DAEF3B7" w14:textId="77777777" w:rsidR="003213F2" w:rsidRDefault="009C165D">
      <w:pPr>
        <w:pStyle w:val="NormalWeb"/>
        <w:spacing w:before="0" w:beforeAutospacing="0" w:after="0" w:afterAutospacing="0"/>
        <w:rPr>
          <w:sz w:val="20"/>
          <w:szCs w:val="20"/>
        </w:rPr>
      </w:pPr>
      <w:r>
        <w:rPr>
          <w:sz w:val="20"/>
          <w:szCs w:val="20"/>
        </w:rPr>
        <w:t> </w:t>
      </w:r>
    </w:p>
    <w:p w14:paraId="3BC8A84B" w14:textId="77777777" w:rsidR="003213F2" w:rsidRDefault="009C165D">
      <w:pPr>
        <w:pStyle w:val="NormalWeb"/>
        <w:spacing w:before="0" w:beforeAutospacing="0" w:after="0" w:afterAutospacing="0"/>
        <w:rPr>
          <w:sz w:val="20"/>
          <w:szCs w:val="20"/>
        </w:rPr>
      </w:pPr>
      <w:r>
        <w:rPr>
          <w:b/>
          <w:bCs/>
          <w:sz w:val="20"/>
          <w:szCs w:val="20"/>
        </w:rPr>
        <w:t>Participants in the Solicitation</w:t>
      </w:r>
    </w:p>
    <w:p w14:paraId="1BED25FB" w14:textId="77777777" w:rsidR="003213F2" w:rsidRDefault="009C165D">
      <w:pPr>
        <w:pStyle w:val="NormalWeb"/>
        <w:spacing w:before="0" w:beforeAutospacing="0" w:after="0" w:afterAutospacing="0"/>
        <w:rPr>
          <w:sz w:val="20"/>
          <w:szCs w:val="20"/>
        </w:rPr>
      </w:pPr>
      <w:r>
        <w:rPr>
          <w:b/>
          <w:bCs/>
          <w:sz w:val="20"/>
          <w:szCs w:val="20"/>
        </w:rPr>
        <w:t> </w:t>
      </w:r>
    </w:p>
    <w:p w14:paraId="73D6D4C3" w14:textId="77777777" w:rsidR="003213F2" w:rsidRDefault="009C165D">
      <w:pPr>
        <w:pStyle w:val="NormalWeb"/>
        <w:spacing w:before="0" w:beforeAutospacing="0" w:after="0" w:afterAutospacing="0"/>
        <w:rPr>
          <w:sz w:val="20"/>
          <w:szCs w:val="20"/>
        </w:rPr>
      </w:pPr>
      <w:r>
        <w:rPr>
          <w:b/>
          <w:bCs/>
          <w:sz w:val="20"/>
          <w:szCs w:val="20"/>
        </w:rPr>
        <w:t> </w:t>
      </w:r>
    </w:p>
    <w:p w14:paraId="13AD4117" w14:textId="77777777" w:rsidR="003213F2" w:rsidRDefault="009C165D">
      <w:pPr>
        <w:pStyle w:val="NormalWeb"/>
        <w:spacing w:before="0" w:beforeAutospacing="0" w:after="0" w:afterAutospacing="0"/>
        <w:rPr>
          <w:sz w:val="20"/>
          <w:szCs w:val="20"/>
        </w:rPr>
      </w:pPr>
      <w:r>
        <w:rPr>
          <w:sz w:val="20"/>
          <w:szCs w:val="20"/>
        </w:rPr>
        <w:t>Apogee, AbbVie and their respective directors and executive officers and certain of their employees may be deemed to be participants in the solicitation of proxies from Apogee’s stockholders in connection with the proposed transaction. Information regarding Apogee’s directors and executive officers is set forth under the captions “Proposal 1: Election of Directors,” “Corporate Governance,” “Executive Officers,” “Executive Compensation” and “Certain Information About Our Common Stock” in the definitive proxy</w:t>
      </w:r>
      <w:r>
        <w:rPr>
          <w:sz w:val="20"/>
          <w:szCs w:val="20"/>
        </w:rPr>
        <w:t xml:space="preserve"> statement for Apogee’s 2026 Annual Meeting of Stockholders, filed with the SEC on </w:t>
      </w:r>
      <w:hyperlink r:id="rId9" w:history="1">
        <w:r>
          <w:rPr>
            <w:rStyle w:val="Hyperlink"/>
            <w:sz w:val="20"/>
            <w:szCs w:val="20"/>
          </w:rPr>
          <w:t>April 24, 2026</w:t>
        </w:r>
      </w:hyperlink>
      <w:r>
        <w:rPr>
          <w:sz w:val="20"/>
          <w:szCs w:val="20"/>
        </w:rPr>
        <w:t xml:space="preserve">, and in Apogee’s Current Reports on Form 8-K, filed with the SEC on </w:t>
      </w:r>
      <w:hyperlink r:id="rId10" w:history="1">
        <w:r>
          <w:rPr>
            <w:rStyle w:val="Hyperlink"/>
            <w:sz w:val="20"/>
            <w:szCs w:val="20"/>
          </w:rPr>
          <w:t>April 24, 2026</w:t>
        </w:r>
      </w:hyperlink>
      <w:r>
        <w:rPr>
          <w:sz w:val="20"/>
          <w:szCs w:val="20"/>
        </w:rPr>
        <w:t xml:space="preserve"> and </w:t>
      </w:r>
      <w:hyperlink r:id="rId11" w:history="1">
        <w:r>
          <w:rPr>
            <w:rStyle w:val="Hyperlink"/>
            <w:sz w:val="20"/>
            <w:szCs w:val="20"/>
          </w:rPr>
          <w:t>June 12, 2026</w:t>
        </w:r>
      </w:hyperlink>
      <w:r>
        <w:rPr>
          <w:sz w:val="20"/>
          <w:szCs w:val="20"/>
        </w:rPr>
        <w:t xml:space="preserve">. Information regarding AbbVie’s directors and executive officers is set forth under the captions “Information Concerning Director Nominees,” “The Board of Directors and its Committees,” “Director Compensation,” “Securities Ownership” and “Executive Compensation” in the definitive proxy statement for AbbVie’s 2026 Annual Meeting of Stockholders, filed with the SEC on </w:t>
      </w:r>
      <w:hyperlink r:id="rId12" w:history="1">
        <w:r>
          <w:rPr>
            <w:rStyle w:val="Hyperlink"/>
            <w:sz w:val="20"/>
            <w:szCs w:val="20"/>
          </w:rPr>
          <w:t>March 23, 2026</w:t>
        </w:r>
      </w:hyperlink>
      <w:r>
        <w:rPr>
          <w:sz w:val="20"/>
          <w:szCs w:val="20"/>
        </w:rPr>
        <w:t xml:space="preserve">, and in AbbVie’s Current Report on Form 8-K, filed with the SEC on </w:t>
      </w:r>
      <w:hyperlink r:id="rId13" w:history="1">
        <w:r>
          <w:rPr>
            <w:rStyle w:val="Hyperlink"/>
            <w:sz w:val="20"/>
            <w:szCs w:val="20"/>
          </w:rPr>
          <w:t>May 12, 2026</w:t>
        </w:r>
      </w:hyperlink>
      <w:r>
        <w:rPr>
          <w:sz w:val="20"/>
          <w:szCs w:val="20"/>
        </w:rPr>
        <w:t xml:space="preserve">. To the extent holdings of Apogee’s securities and AbbVie’s securities by their respective directors or executive officers have changed since the amounts set forth in such filings, such changes have been or will be reflected on Initial Statements of Beneficial Ownership on Form 3 or Statements of Beneficial Ownership on Form 4 filed with the SEC. These documents may be obtained free of charge from the SEC’s website at </w:t>
      </w:r>
      <w:r>
        <w:rPr>
          <w:sz w:val="20"/>
          <w:szCs w:val="20"/>
          <w:u w:val="single"/>
        </w:rPr>
        <w:t>www.sec.gov</w:t>
      </w:r>
      <w:r>
        <w:rPr>
          <w:sz w:val="20"/>
          <w:szCs w:val="20"/>
        </w:rPr>
        <w:t xml:space="preserve"> or by accessing the Investors section of Apogee’s website at </w:t>
      </w:r>
      <w:r>
        <w:rPr>
          <w:sz w:val="20"/>
          <w:szCs w:val="20"/>
          <w:u w:val="single"/>
        </w:rPr>
        <w:t>https://investor</w:t>
      </w:r>
      <w:r>
        <w:rPr>
          <w:sz w:val="20"/>
          <w:szCs w:val="20"/>
          <w:u w:val="single"/>
        </w:rPr>
        <w:t>s.apogeetherapeutics.com</w:t>
      </w:r>
      <w:r>
        <w:rPr>
          <w:sz w:val="20"/>
          <w:szCs w:val="20"/>
        </w:rPr>
        <w:t xml:space="preserve"> and the Investors section of AbbVie’s website at </w:t>
      </w:r>
      <w:r>
        <w:rPr>
          <w:sz w:val="20"/>
          <w:szCs w:val="20"/>
          <w:u w:val="single"/>
        </w:rPr>
        <w:t>https://investors.abbvie.com</w:t>
      </w:r>
      <w:r>
        <w:rPr>
          <w:sz w:val="20"/>
          <w:szCs w:val="20"/>
        </w:rPr>
        <w:t>. Additional information regarding the interests of participants in the solicitation of proxies in connection with the proposed transaction will be included in the proxy statement that Apogee expects to file in connection with the proposed transaction and other relevant materials Apogee may file with the SEC.</w:t>
      </w:r>
    </w:p>
    <w:p w14:paraId="78A6D9C2" w14:textId="77777777" w:rsidR="003213F2" w:rsidRDefault="009C165D">
      <w:pPr>
        <w:pStyle w:val="NormalWeb"/>
        <w:spacing w:before="0" w:beforeAutospacing="0" w:after="0" w:afterAutospacing="0"/>
        <w:rPr>
          <w:sz w:val="20"/>
          <w:szCs w:val="20"/>
        </w:rPr>
      </w:pPr>
      <w:r>
        <w:rPr>
          <w:b/>
          <w:bCs/>
          <w:sz w:val="20"/>
          <w:szCs w:val="20"/>
        </w:rPr>
        <w:t> </w:t>
      </w:r>
    </w:p>
    <w:p w14:paraId="33FCCF7A" w14:textId="77777777" w:rsidR="003213F2" w:rsidRDefault="009C165D">
      <w:pPr>
        <w:pStyle w:val="NormalWeb"/>
        <w:spacing w:before="0" w:beforeAutospacing="0" w:after="0" w:afterAutospacing="0"/>
        <w:jc w:val="center"/>
        <w:rPr>
          <w:sz w:val="20"/>
          <w:szCs w:val="20"/>
        </w:rPr>
      </w:pPr>
      <w:r>
        <w:rPr>
          <w:sz w:val="20"/>
          <w:szCs w:val="20"/>
        </w:rPr>
        <w:t>###</w:t>
      </w:r>
    </w:p>
    <w:p w14:paraId="04B059A9" w14:textId="77777777" w:rsidR="003213F2" w:rsidRDefault="009C165D">
      <w:pPr>
        <w:pStyle w:val="NormalWeb"/>
        <w:spacing w:before="0" w:beforeAutospacing="0" w:after="0" w:afterAutospacing="0"/>
        <w:jc w:val="center"/>
        <w:rPr>
          <w:sz w:val="20"/>
          <w:szCs w:val="20"/>
        </w:rPr>
      </w:pPr>
      <w:r>
        <w:rPr>
          <w:sz w:val="20"/>
          <w:szCs w:val="20"/>
        </w:rPr>
        <w:t> </w:t>
      </w:r>
    </w:p>
    <w:p w14:paraId="7C6C4FCE" w14:textId="77777777" w:rsidR="003213F2" w:rsidRDefault="009C165D">
      <w:pPr>
        <w:pStyle w:val="NormalWeb"/>
        <w:spacing w:before="0" w:beforeAutospacing="0" w:after="0" w:afterAutospacing="0"/>
        <w:divId w:val="446898913"/>
        <w:rPr>
          <w:rFonts w:ascii="Arial" w:hAnsi="Arial" w:cs="Arial"/>
          <w:sz w:val="20"/>
          <w:szCs w:val="20"/>
        </w:rPr>
      </w:pPr>
      <w:r>
        <w:rPr>
          <w:rFonts w:ascii="Arial" w:hAnsi="Arial" w:cs="Arial"/>
          <w:sz w:val="20"/>
          <w:szCs w:val="20"/>
        </w:rPr>
        <w:t> </w:t>
      </w:r>
    </w:p>
    <w:p w14:paraId="623E8081" w14:textId="77777777" w:rsidR="003213F2" w:rsidRDefault="009C165D">
      <w:pPr>
        <w:pStyle w:val="NormalWeb"/>
        <w:pageBreakBefore/>
        <w:spacing w:before="0" w:beforeAutospacing="0" w:after="0" w:afterAutospacing="0"/>
        <w:divId w:val="393819567"/>
        <w:rPr>
          <w:rFonts w:ascii="Arial" w:hAnsi="Arial" w:cs="Arial"/>
          <w:sz w:val="20"/>
          <w:szCs w:val="20"/>
        </w:rPr>
      </w:pPr>
      <w:r>
        <w:rPr>
          <w:rFonts w:ascii="Arial" w:hAnsi="Arial" w:cs="Arial"/>
          <w:sz w:val="20"/>
          <w:szCs w:val="20"/>
        </w:rPr>
        <w:lastRenderedPageBreak/>
        <w:t> </w:t>
      </w:r>
    </w:p>
    <w:p w14:paraId="12D4B9A5" w14:textId="77777777" w:rsidR="003213F2" w:rsidRDefault="009C165D">
      <w:pPr>
        <w:pStyle w:val="NormalWeb"/>
        <w:spacing w:before="0" w:beforeAutospacing="0" w:after="0" w:afterAutospacing="0"/>
        <w:jc w:val="center"/>
        <w:rPr>
          <w:sz w:val="20"/>
          <w:szCs w:val="20"/>
        </w:rPr>
      </w:pPr>
      <w:r>
        <w:rPr>
          <w:sz w:val="20"/>
          <w:szCs w:val="20"/>
        </w:rPr>
        <w:t> </w:t>
      </w:r>
    </w:p>
    <w:p w14:paraId="05E2AE2F" w14:textId="77777777" w:rsidR="003213F2" w:rsidRDefault="009C165D">
      <w:pPr>
        <w:pStyle w:val="NormalWeb"/>
        <w:spacing w:before="0" w:beforeAutospacing="0" w:after="0" w:afterAutospacing="0"/>
        <w:rPr>
          <w:sz w:val="20"/>
          <w:szCs w:val="20"/>
        </w:rPr>
      </w:pPr>
      <w:r>
        <w:rPr>
          <w:sz w:val="20"/>
          <w:szCs w:val="20"/>
        </w:rPr>
        <w:t> </w:t>
      </w:r>
      <w:r>
        <w:rPr>
          <w:noProof/>
          <w:sz w:val="20"/>
          <w:szCs w:val="20"/>
        </w:rPr>
        <w:drawing>
          <wp:inline distT="0" distB="0" distL="0" distR="0" wp14:anchorId="655BA81F" wp14:editId="605E0494">
            <wp:extent cx="1371600" cy="333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333375"/>
                    </a:xfrm>
                    <a:prstGeom prst="rect">
                      <a:avLst/>
                    </a:prstGeom>
                    <a:noFill/>
                    <a:ln>
                      <a:noFill/>
                    </a:ln>
                  </pic:spPr>
                </pic:pic>
              </a:graphicData>
            </a:graphic>
          </wp:inline>
        </w:drawing>
      </w:r>
    </w:p>
    <w:p w14:paraId="6441003D" w14:textId="77777777" w:rsidR="003213F2" w:rsidRDefault="009C165D">
      <w:pPr>
        <w:pStyle w:val="NormalWeb"/>
        <w:spacing w:before="0" w:beforeAutospacing="0" w:after="0" w:afterAutospacing="0"/>
        <w:jc w:val="center"/>
        <w:rPr>
          <w:sz w:val="20"/>
          <w:szCs w:val="20"/>
        </w:rPr>
      </w:pPr>
      <w:r>
        <w:rPr>
          <w:sz w:val="20"/>
          <w:szCs w:val="20"/>
        </w:rPr>
        <w:t> </w:t>
      </w:r>
    </w:p>
    <w:p w14:paraId="2CB302B9" w14:textId="77777777" w:rsidR="003213F2" w:rsidRDefault="009C165D">
      <w:pPr>
        <w:pStyle w:val="NormalWeb"/>
        <w:spacing w:before="0" w:beforeAutospacing="0" w:after="0" w:afterAutospacing="0"/>
        <w:rPr>
          <w:sz w:val="20"/>
          <w:szCs w:val="20"/>
        </w:rPr>
      </w:pPr>
      <w:r>
        <w:rPr>
          <w:b/>
          <w:bCs/>
          <w:sz w:val="20"/>
          <w:szCs w:val="20"/>
        </w:rPr>
        <w:t>AbbVie Contacts</w:t>
      </w:r>
    </w:p>
    <w:p w14:paraId="6A7C2F86" w14:textId="77777777" w:rsidR="003213F2" w:rsidRDefault="009C165D">
      <w:pPr>
        <w:pStyle w:val="NormalWeb"/>
        <w:spacing w:before="0" w:beforeAutospacing="0" w:after="0" w:afterAutospacing="0"/>
        <w:rPr>
          <w:sz w:val="20"/>
          <w:szCs w:val="20"/>
        </w:rPr>
      </w:pPr>
      <w:r>
        <w:rPr>
          <w:b/>
          <w:bCs/>
          <w:sz w:val="20"/>
          <w:szCs w:val="20"/>
        </w:rPr>
        <w:t> </w:t>
      </w:r>
    </w:p>
    <w:tbl>
      <w:tblPr>
        <w:tblW w:w="5000" w:type="pct"/>
        <w:tblCellMar>
          <w:left w:w="0" w:type="dxa"/>
          <w:right w:w="0" w:type="dxa"/>
        </w:tblCellMar>
        <w:tblLook w:val="04A0" w:firstRow="1" w:lastRow="0" w:firstColumn="1" w:lastColumn="0" w:noHBand="0" w:noVBand="1"/>
      </w:tblPr>
      <w:tblGrid>
        <w:gridCol w:w="4680"/>
        <w:gridCol w:w="4680"/>
      </w:tblGrid>
      <w:tr w:rsidR="003213F2" w14:paraId="5DC90FB0" w14:textId="77777777">
        <w:tc>
          <w:tcPr>
            <w:tcW w:w="2500" w:type="pct"/>
            <w:tcMar>
              <w:top w:w="0" w:type="dxa"/>
              <w:left w:w="200" w:type="dxa"/>
              <w:bottom w:w="0" w:type="dxa"/>
              <w:right w:w="108" w:type="dxa"/>
            </w:tcMar>
            <w:hideMark/>
          </w:tcPr>
          <w:p w14:paraId="393809FD" w14:textId="77777777" w:rsidR="003213F2" w:rsidRDefault="009C165D">
            <w:pPr>
              <w:pStyle w:val="NormalWeb"/>
              <w:spacing w:before="0" w:beforeAutospacing="0" w:after="0" w:afterAutospacing="0"/>
              <w:rPr>
                <w:sz w:val="20"/>
                <w:szCs w:val="20"/>
              </w:rPr>
            </w:pPr>
            <w:r>
              <w:rPr>
                <w:b/>
                <w:bCs/>
                <w:sz w:val="20"/>
                <w:szCs w:val="20"/>
              </w:rPr>
              <w:t>Media:</w:t>
            </w:r>
          </w:p>
          <w:p w14:paraId="35E3EE60" w14:textId="77777777" w:rsidR="003213F2" w:rsidRDefault="009C165D">
            <w:pPr>
              <w:pStyle w:val="NormalWeb"/>
              <w:spacing w:before="0" w:beforeAutospacing="0" w:after="0" w:afterAutospacing="0"/>
              <w:rPr>
                <w:sz w:val="20"/>
                <w:szCs w:val="20"/>
              </w:rPr>
            </w:pPr>
            <w:r>
              <w:rPr>
                <w:sz w:val="20"/>
                <w:szCs w:val="20"/>
              </w:rPr>
              <w:t>Marianne Ostrogorski</w:t>
            </w:r>
          </w:p>
          <w:p w14:paraId="043CACF3" w14:textId="77777777" w:rsidR="003213F2" w:rsidRDefault="009C165D">
            <w:pPr>
              <w:pStyle w:val="NormalWeb"/>
              <w:spacing w:before="0" w:beforeAutospacing="0" w:after="0" w:afterAutospacing="0"/>
              <w:rPr>
                <w:sz w:val="20"/>
                <w:szCs w:val="20"/>
              </w:rPr>
            </w:pPr>
            <w:r>
              <w:rPr>
                <w:sz w:val="20"/>
                <w:szCs w:val="20"/>
                <w:u w:val="single"/>
              </w:rPr>
              <w:t>marianne.ostrogorski@abbvie.com</w:t>
            </w:r>
          </w:p>
        </w:tc>
        <w:tc>
          <w:tcPr>
            <w:tcW w:w="2500" w:type="pct"/>
            <w:tcMar>
              <w:top w:w="0" w:type="dxa"/>
              <w:left w:w="108" w:type="dxa"/>
              <w:bottom w:w="0" w:type="dxa"/>
              <w:right w:w="108" w:type="dxa"/>
            </w:tcMar>
            <w:hideMark/>
          </w:tcPr>
          <w:p w14:paraId="26C3921D" w14:textId="77777777" w:rsidR="003213F2" w:rsidRDefault="009C165D">
            <w:pPr>
              <w:pStyle w:val="NormalWeb"/>
              <w:spacing w:before="0" w:beforeAutospacing="0" w:after="0" w:afterAutospacing="0"/>
              <w:rPr>
                <w:sz w:val="20"/>
                <w:szCs w:val="20"/>
              </w:rPr>
            </w:pPr>
            <w:r>
              <w:rPr>
                <w:b/>
                <w:bCs/>
                <w:sz w:val="20"/>
                <w:szCs w:val="20"/>
              </w:rPr>
              <w:t xml:space="preserve">Investors: </w:t>
            </w:r>
          </w:p>
          <w:p w14:paraId="37C91FFA" w14:textId="77777777" w:rsidR="003213F2" w:rsidRDefault="009C165D">
            <w:pPr>
              <w:pStyle w:val="NormalWeb"/>
              <w:spacing w:before="0" w:beforeAutospacing="0" w:after="0" w:afterAutospacing="0"/>
              <w:rPr>
                <w:sz w:val="20"/>
                <w:szCs w:val="20"/>
              </w:rPr>
            </w:pPr>
            <w:r>
              <w:rPr>
                <w:sz w:val="20"/>
                <w:szCs w:val="20"/>
              </w:rPr>
              <w:t>Liz Shea</w:t>
            </w:r>
          </w:p>
          <w:p w14:paraId="39DC9190" w14:textId="77777777" w:rsidR="003213F2" w:rsidRDefault="009C165D">
            <w:pPr>
              <w:pStyle w:val="NormalWeb"/>
              <w:spacing w:before="0" w:beforeAutospacing="0" w:after="0" w:afterAutospacing="0"/>
              <w:rPr>
                <w:sz w:val="20"/>
                <w:szCs w:val="20"/>
              </w:rPr>
            </w:pPr>
            <w:r>
              <w:rPr>
                <w:sz w:val="20"/>
                <w:szCs w:val="20"/>
                <w:u w:val="single"/>
              </w:rPr>
              <w:t>liz.shea@abbvie.com</w:t>
            </w:r>
          </w:p>
        </w:tc>
      </w:tr>
    </w:tbl>
    <w:p w14:paraId="056BACA1" w14:textId="77777777" w:rsidR="003213F2" w:rsidRDefault="009C165D">
      <w:pPr>
        <w:pStyle w:val="NormalWeb"/>
        <w:spacing w:before="0" w:beforeAutospacing="0" w:after="0" w:afterAutospacing="0"/>
        <w:rPr>
          <w:sz w:val="20"/>
          <w:szCs w:val="20"/>
        </w:rPr>
      </w:pPr>
      <w:r>
        <w:rPr>
          <w:sz w:val="20"/>
          <w:szCs w:val="20"/>
        </w:rPr>
        <w:t> </w:t>
      </w:r>
    </w:p>
    <w:p w14:paraId="0ECA603A" w14:textId="77777777" w:rsidR="003213F2" w:rsidRDefault="009C165D">
      <w:pPr>
        <w:pStyle w:val="NormalWeb"/>
        <w:spacing w:before="0" w:beforeAutospacing="0" w:after="0" w:afterAutospacing="0"/>
        <w:rPr>
          <w:sz w:val="20"/>
          <w:szCs w:val="20"/>
        </w:rPr>
      </w:pPr>
      <w:r>
        <w:rPr>
          <w:b/>
          <w:bCs/>
          <w:sz w:val="20"/>
          <w:szCs w:val="20"/>
        </w:rPr>
        <w:t>Apogee Contacts</w:t>
      </w:r>
    </w:p>
    <w:p w14:paraId="04DA4C58" w14:textId="77777777" w:rsidR="003213F2" w:rsidRDefault="009C165D">
      <w:pPr>
        <w:pStyle w:val="NormalWeb"/>
        <w:spacing w:before="0" w:beforeAutospacing="0" w:after="0" w:afterAutospacing="0"/>
        <w:rPr>
          <w:sz w:val="20"/>
          <w:szCs w:val="20"/>
        </w:rPr>
      </w:pPr>
      <w:r>
        <w:rPr>
          <w:b/>
          <w:bCs/>
          <w:sz w:val="20"/>
          <w:szCs w:val="20"/>
        </w:rPr>
        <w:t> </w:t>
      </w:r>
    </w:p>
    <w:tbl>
      <w:tblPr>
        <w:tblW w:w="5000" w:type="pct"/>
        <w:tblCellMar>
          <w:left w:w="0" w:type="dxa"/>
          <w:right w:w="0" w:type="dxa"/>
        </w:tblCellMar>
        <w:tblLook w:val="04A0" w:firstRow="1" w:lastRow="0" w:firstColumn="1" w:lastColumn="0" w:noHBand="0" w:noVBand="1"/>
      </w:tblPr>
      <w:tblGrid>
        <w:gridCol w:w="4680"/>
        <w:gridCol w:w="4680"/>
      </w:tblGrid>
      <w:tr w:rsidR="003213F2" w14:paraId="327768E3" w14:textId="77777777">
        <w:tc>
          <w:tcPr>
            <w:tcW w:w="2500" w:type="pct"/>
            <w:tcMar>
              <w:top w:w="0" w:type="dxa"/>
              <w:left w:w="200" w:type="dxa"/>
              <w:bottom w:w="0" w:type="dxa"/>
              <w:right w:w="108" w:type="dxa"/>
            </w:tcMar>
            <w:hideMark/>
          </w:tcPr>
          <w:p w14:paraId="45AF7315" w14:textId="77777777" w:rsidR="003213F2" w:rsidRDefault="009C165D">
            <w:pPr>
              <w:pStyle w:val="NormalWeb"/>
              <w:spacing w:before="0" w:beforeAutospacing="0" w:after="0" w:afterAutospacing="0"/>
              <w:rPr>
                <w:sz w:val="20"/>
                <w:szCs w:val="20"/>
              </w:rPr>
            </w:pPr>
            <w:r>
              <w:rPr>
                <w:b/>
                <w:bCs/>
                <w:sz w:val="20"/>
                <w:szCs w:val="20"/>
              </w:rPr>
              <w:t>Media:</w:t>
            </w:r>
          </w:p>
          <w:p w14:paraId="76DEBF6C" w14:textId="77777777" w:rsidR="003213F2" w:rsidRDefault="009C165D">
            <w:pPr>
              <w:pStyle w:val="NormalWeb"/>
              <w:spacing w:before="0" w:beforeAutospacing="0" w:after="0" w:afterAutospacing="0"/>
              <w:rPr>
                <w:sz w:val="20"/>
                <w:szCs w:val="20"/>
              </w:rPr>
            </w:pPr>
            <w:r>
              <w:rPr>
                <w:sz w:val="20"/>
                <w:szCs w:val="20"/>
              </w:rPr>
              <w:t>Andi Rose / Aura Reinhard</w:t>
            </w:r>
          </w:p>
        </w:tc>
        <w:tc>
          <w:tcPr>
            <w:tcW w:w="2500" w:type="pct"/>
            <w:tcMar>
              <w:top w:w="0" w:type="dxa"/>
              <w:left w:w="108" w:type="dxa"/>
              <w:bottom w:w="0" w:type="dxa"/>
              <w:right w:w="108" w:type="dxa"/>
            </w:tcMar>
            <w:hideMark/>
          </w:tcPr>
          <w:p w14:paraId="5A62876C" w14:textId="77777777" w:rsidR="003213F2" w:rsidRDefault="009C165D">
            <w:pPr>
              <w:pStyle w:val="NormalWeb"/>
              <w:spacing w:before="0" w:beforeAutospacing="0" w:after="0" w:afterAutospacing="0"/>
              <w:rPr>
                <w:sz w:val="20"/>
                <w:szCs w:val="20"/>
              </w:rPr>
            </w:pPr>
            <w:r>
              <w:rPr>
                <w:b/>
                <w:bCs/>
                <w:sz w:val="20"/>
                <w:szCs w:val="20"/>
              </w:rPr>
              <w:t xml:space="preserve">Investors: </w:t>
            </w:r>
          </w:p>
          <w:p w14:paraId="10F21760" w14:textId="77777777" w:rsidR="003213F2" w:rsidRDefault="009C165D">
            <w:pPr>
              <w:pStyle w:val="NormalWeb"/>
              <w:spacing w:before="0" w:beforeAutospacing="0" w:after="0" w:afterAutospacing="0"/>
              <w:rPr>
                <w:sz w:val="20"/>
                <w:szCs w:val="20"/>
              </w:rPr>
            </w:pPr>
            <w:r>
              <w:rPr>
                <w:sz w:val="20"/>
                <w:szCs w:val="20"/>
              </w:rPr>
              <w:t>Noel Kurdi</w:t>
            </w:r>
          </w:p>
        </w:tc>
      </w:tr>
      <w:tr w:rsidR="003213F2" w14:paraId="3D3674E6" w14:textId="77777777">
        <w:tc>
          <w:tcPr>
            <w:tcW w:w="0" w:type="auto"/>
            <w:tcMar>
              <w:top w:w="0" w:type="dxa"/>
              <w:left w:w="200" w:type="dxa"/>
              <w:bottom w:w="0" w:type="dxa"/>
              <w:right w:w="108" w:type="dxa"/>
            </w:tcMar>
            <w:hideMark/>
          </w:tcPr>
          <w:p w14:paraId="29FF89FC" w14:textId="77777777" w:rsidR="003213F2" w:rsidRDefault="009C165D">
            <w:pPr>
              <w:pStyle w:val="NormalWeb"/>
              <w:spacing w:before="0" w:beforeAutospacing="0" w:after="0" w:afterAutospacing="0"/>
              <w:rPr>
                <w:sz w:val="20"/>
                <w:szCs w:val="20"/>
              </w:rPr>
            </w:pPr>
            <w:r>
              <w:rPr>
                <w:sz w:val="20"/>
                <w:szCs w:val="20"/>
              </w:rPr>
              <w:t>Joele Frank, Wilkinson Brimmer Katcher</w:t>
            </w:r>
          </w:p>
          <w:p w14:paraId="4B5D40E5" w14:textId="77777777" w:rsidR="003213F2" w:rsidRDefault="009C165D">
            <w:pPr>
              <w:pStyle w:val="NormalWeb"/>
              <w:spacing w:before="0" w:beforeAutospacing="0" w:after="0" w:afterAutospacing="0"/>
              <w:rPr>
                <w:sz w:val="20"/>
                <w:szCs w:val="20"/>
              </w:rPr>
            </w:pPr>
            <w:r>
              <w:rPr>
                <w:sz w:val="20"/>
                <w:szCs w:val="20"/>
              </w:rPr>
              <w:t>(212) 355-4449</w:t>
            </w:r>
          </w:p>
        </w:tc>
        <w:tc>
          <w:tcPr>
            <w:tcW w:w="0" w:type="auto"/>
            <w:tcMar>
              <w:top w:w="0" w:type="dxa"/>
              <w:left w:w="108" w:type="dxa"/>
              <w:bottom w:w="0" w:type="dxa"/>
              <w:right w:w="108" w:type="dxa"/>
            </w:tcMar>
            <w:hideMark/>
          </w:tcPr>
          <w:p w14:paraId="538F5B72" w14:textId="77777777" w:rsidR="003213F2" w:rsidRDefault="009C165D">
            <w:pPr>
              <w:pStyle w:val="NormalWeb"/>
              <w:spacing w:before="0" w:beforeAutospacing="0" w:after="0" w:afterAutospacing="0"/>
              <w:rPr>
                <w:sz w:val="20"/>
                <w:szCs w:val="20"/>
              </w:rPr>
            </w:pPr>
            <w:r>
              <w:rPr>
                <w:sz w:val="20"/>
                <w:szCs w:val="20"/>
              </w:rPr>
              <w:t>VP, Investor Relations</w:t>
            </w:r>
          </w:p>
          <w:p w14:paraId="3DB3FE7A" w14:textId="77777777" w:rsidR="003213F2" w:rsidRDefault="009C165D">
            <w:pPr>
              <w:pStyle w:val="NormalWeb"/>
              <w:spacing w:before="0" w:beforeAutospacing="0" w:after="0" w:afterAutospacing="0"/>
              <w:rPr>
                <w:sz w:val="20"/>
                <w:szCs w:val="20"/>
              </w:rPr>
            </w:pPr>
            <w:r>
              <w:rPr>
                <w:sz w:val="20"/>
                <w:szCs w:val="20"/>
                <w:u w:val="single"/>
              </w:rPr>
              <w:t>noel.kurdi@apogeetherapeutics.com</w:t>
            </w:r>
          </w:p>
        </w:tc>
      </w:tr>
      <w:tr w:rsidR="003213F2" w14:paraId="00158EF3" w14:textId="77777777">
        <w:tc>
          <w:tcPr>
            <w:tcW w:w="0" w:type="auto"/>
            <w:tcMar>
              <w:top w:w="0" w:type="dxa"/>
              <w:left w:w="200" w:type="dxa"/>
              <w:bottom w:w="0" w:type="dxa"/>
              <w:right w:w="108" w:type="dxa"/>
            </w:tcMar>
            <w:hideMark/>
          </w:tcPr>
          <w:p w14:paraId="6D2F6894" w14:textId="77777777" w:rsidR="003213F2" w:rsidRDefault="009C165D">
            <w:pPr>
              <w:rPr>
                <w:rFonts w:eastAsia="Times New Roman"/>
                <w:color w:val="4C4C4C"/>
                <w:sz w:val="20"/>
                <w:szCs w:val="20"/>
              </w:rPr>
            </w:pPr>
            <w:r>
              <w:rPr>
                <w:rFonts w:eastAsia="Times New Roman"/>
                <w:color w:val="4C4C4C"/>
                <w:sz w:val="20"/>
                <w:szCs w:val="20"/>
              </w:rPr>
              <w:t> </w:t>
            </w:r>
          </w:p>
        </w:tc>
        <w:tc>
          <w:tcPr>
            <w:tcW w:w="0" w:type="auto"/>
            <w:tcMar>
              <w:top w:w="0" w:type="dxa"/>
              <w:left w:w="108" w:type="dxa"/>
              <w:bottom w:w="0" w:type="dxa"/>
              <w:right w:w="108" w:type="dxa"/>
            </w:tcMar>
            <w:hideMark/>
          </w:tcPr>
          <w:p w14:paraId="4ECBEB7A" w14:textId="77777777" w:rsidR="003213F2" w:rsidRDefault="009C165D">
            <w:pPr>
              <w:rPr>
                <w:rFonts w:eastAsia="Times New Roman"/>
                <w:color w:val="4C4C4C"/>
                <w:sz w:val="20"/>
                <w:szCs w:val="20"/>
              </w:rPr>
            </w:pPr>
            <w:r>
              <w:rPr>
                <w:rFonts w:eastAsia="Times New Roman"/>
                <w:color w:val="4C4C4C"/>
                <w:sz w:val="20"/>
                <w:szCs w:val="20"/>
              </w:rPr>
              <w:t> </w:t>
            </w:r>
          </w:p>
        </w:tc>
      </w:tr>
      <w:tr w:rsidR="003213F2" w14:paraId="63257C58" w14:textId="77777777">
        <w:tc>
          <w:tcPr>
            <w:tcW w:w="0" w:type="auto"/>
            <w:tcMar>
              <w:top w:w="0" w:type="dxa"/>
              <w:left w:w="200" w:type="dxa"/>
              <w:bottom w:w="0" w:type="dxa"/>
              <w:right w:w="108" w:type="dxa"/>
            </w:tcMar>
            <w:hideMark/>
          </w:tcPr>
          <w:p w14:paraId="5619BBC5" w14:textId="77777777" w:rsidR="003213F2" w:rsidRDefault="009C165D">
            <w:pPr>
              <w:rPr>
                <w:rFonts w:eastAsia="Times New Roman"/>
                <w:sz w:val="20"/>
                <w:szCs w:val="20"/>
              </w:rPr>
            </w:pPr>
            <w:r>
              <w:rPr>
                <w:rFonts w:eastAsia="Times New Roman"/>
                <w:sz w:val="20"/>
                <w:szCs w:val="20"/>
              </w:rPr>
              <w:t>Dan Budwick</w:t>
            </w:r>
          </w:p>
        </w:tc>
        <w:tc>
          <w:tcPr>
            <w:tcW w:w="0" w:type="auto"/>
            <w:tcMar>
              <w:top w:w="0" w:type="dxa"/>
              <w:left w:w="108" w:type="dxa"/>
              <w:bottom w:w="0" w:type="dxa"/>
              <w:right w:w="108" w:type="dxa"/>
            </w:tcMar>
            <w:hideMark/>
          </w:tcPr>
          <w:p w14:paraId="344556F3" w14:textId="77777777" w:rsidR="003213F2" w:rsidRDefault="009C165D">
            <w:pPr>
              <w:rPr>
                <w:rFonts w:eastAsia="Times New Roman"/>
                <w:color w:val="4C4C4C"/>
                <w:sz w:val="20"/>
                <w:szCs w:val="20"/>
              </w:rPr>
            </w:pPr>
            <w:r>
              <w:rPr>
                <w:rFonts w:eastAsia="Times New Roman"/>
                <w:color w:val="4C4C4C"/>
                <w:sz w:val="20"/>
                <w:szCs w:val="20"/>
              </w:rPr>
              <w:t> </w:t>
            </w:r>
          </w:p>
        </w:tc>
      </w:tr>
      <w:tr w:rsidR="003213F2" w14:paraId="3C561693" w14:textId="77777777">
        <w:tc>
          <w:tcPr>
            <w:tcW w:w="0" w:type="auto"/>
            <w:tcMar>
              <w:top w:w="0" w:type="dxa"/>
              <w:left w:w="200" w:type="dxa"/>
              <w:bottom w:w="0" w:type="dxa"/>
              <w:right w:w="108" w:type="dxa"/>
            </w:tcMar>
            <w:hideMark/>
          </w:tcPr>
          <w:p w14:paraId="30203488" w14:textId="77777777" w:rsidR="003213F2" w:rsidRDefault="009C165D">
            <w:pPr>
              <w:rPr>
                <w:rFonts w:eastAsia="Times New Roman"/>
                <w:sz w:val="20"/>
                <w:szCs w:val="20"/>
              </w:rPr>
            </w:pPr>
            <w:r>
              <w:rPr>
                <w:rFonts w:eastAsia="Times New Roman"/>
                <w:sz w:val="20"/>
                <w:szCs w:val="20"/>
              </w:rPr>
              <w:t>1AB Media</w:t>
            </w:r>
          </w:p>
        </w:tc>
        <w:tc>
          <w:tcPr>
            <w:tcW w:w="0" w:type="auto"/>
            <w:tcMar>
              <w:top w:w="0" w:type="dxa"/>
              <w:left w:w="108" w:type="dxa"/>
              <w:bottom w:w="0" w:type="dxa"/>
              <w:right w:w="108" w:type="dxa"/>
            </w:tcMar>
            <w:hideMark/>
          </w:tcPr>
          <w:p w14:paraId="5E8C02D9" w14:textId="77777777" w:rsidR="003213F2" w:rsidRDefault="009C165D">
            <w:pPr>
              <w:rPr>
                <w:rFonts w:eastAsia="Times New Roman"/>
                <w:color w:val="4C4C4C"/>
                <w:sz w:val="20"/>
                <w:szCs w:val="20"/>
              </w:rPr>
            </w:pPr>
            <w:r>
              <w:rPr>
                <w:rFonts w:eastAsia="Times New Roman"/>
                <w:color w:val="4C4C4C"/>
                <w:sz w:val="20"/>
                <w:szCs w:val="20"/>
              </w:rPr>
              <w:t> </w:t>
            </w:r>
          </w:p>
        </w:tc>
      </w:tr>
      <w:tr w:rsidR="003213F2" w14:paraId="508D5148" w14:textId="77777777">
        <w:tc>
          <w:tcPr>
            <w:tcW w:w="0" w:type="auto"/>
            <w:tcMar>
              <w:top w:w="0" w:type="dxa"/>
              <w:left w:w="200" w:type="dxa"/>
              <w:bottom w:w="0" w:type="dxa"/>
              <w:right w:w="108" w:type="dxa"/>
            </w:tcMar>
            <w:hideMark/>
          </w:tcPr>
          <w:p w14:paraId="4DACD3C7" w14:textId="77777777" w:rsidR="003213F2" w:rsidRDefault="009C165D">
            <w:pPr>
              <w:rPr>
                <w:rFonts w:eastAsia="Times New Roman"/>
                <w:sz w:val="20"/>
                <w:szCs w:val="20"/>
              </w:rPr>
            </w:pPr>
            <w:r>
              <w:rPr>
                <w:rFonts w:eastAsia="Times New Roman"/>
                <w:sz w:val="20"/>
                <w:szCs w:val="20"/>
                <w:u w:val="single"/>
              </w:rPr>
              <w:t>dan@1abmedia.com</w:t>
            </w:r>
          </w:p>
        </w:tc>
        <w:tc>
          <w:tcPr>
            <w:tcW w:w="0" w:type="auto"/>
            <w:tcMar>
              <w:top w:w="0" w:type="dxa"/>
              <w:left w:w="108" w:type="dxa"/>
              <w:bottom w:w="0" w:type="dxa"/>
              <w:right w:w="108" w:type="dxa"/>
            </w:tcMar>
            <w:hideMark/>
          </w:tcPr>
          <w:p w14:paraId="7A4552FB" w14:textId="77777777" w:rsidR="003213F2" w:rsidRDefault="009C165D">
            <w:pPr>
              <w:rPr>
                <w:rFonts w:eastAsia="Times New Roman"/>
                <w:color w:val="4C4C4C"/>
                <w:sz w:val="20"/>
                <w:szCs w:val="20"/>
              </w:rPr>
            </w:pPr>
            <w:r>
              <w:rPr>
                <w:rFonts w:eastAsia="Times New Roman"/>
                <w:color w:val="4C4C4C"/>
                <w:sz w:val="20"/>
                <w:szCs w:val="20"/>
              </w:rPr>
              <w:t> </w:t>
            </w:r>
          </w:p>
        </w:tc>
      </w:tr>
    </w:tbl>
    <w:p w14:paraId="587418C9" w14:textId="77777777" w:rsidR="003213F2" w:rsidRDefault="009C165D">
      <w:pPr>
        <w:pStyle w:val="NormalWeb"/>
        <w:spacing w:before="0" w:beforeAutospacing="0" w:after="0" w:afterAutospacing="0"/>
        <w:rPr>
          <w:sz w:val="20"/>
          <w:szCs w:val="20"/>
        </w:rPr>
      </w:pPr>
      <w:r>
        <w:rPr>
          <w:sz w:val="20"/>
          <w:szCs w:val="20"/>
        </w:rPr>
        <w:t>  </w:t>
      </w:r>
    </w:p>
    <w:p w14:paraId="78E7CADB" w14:textId="77777777" w:rsidR="003213F2" w:rsidRDefault="009C165D">
      <w:pPr>
        <w:pStyle w:val="NormalWeb"/>
        <w:spacing w:before="0" w:beforeAutospacing="0" w:after="0" w:afterAutospacing="0"/>
        <w:divId w:val="1646008572"/>
        <w:rPr>
          <w:rFonts w:ascii="Arial" w:hAnsi="Arial" w:cs="Arial"/>
          <w:sz w:val="20"/>
          <w:szCs w:val="20"/>
        </w:rPr>
      </w:pPr>
      <w:r>
        <w:rPr>
          <w:rFonts w:ascii="Arial" w:hAnsi="Arial" w:cs="Arial"/>
          <w:sz w:val="20"/>
          <w:szCs w:val="20"/>
        </w:rPr>
        <w:t> </w:t>
      </w:r>
    </w:p>
    <w:p w14:paraId="6F5E2CB7" w14:textId="77777777" w:rsidR="003213F2" w:rsidRDefault="009C165D">
      <w:pPr>
        <w:pStyle w:val="NormalWeb"/>
        <w:pageBreakBefore/>
        <w:spacing w:before="0" w:beforeAutospacing="0" w:after="0" w:afterAutospacing="0"/>
        <w:divId w:val="2076049687"/>
        <w:rPr>
          <w:rFonts w:ascii="Arial" w:hAnsi="Arial" w:cs="Arial"/>
          <w:sz w:val="20"/>
          <w:szCs w:val="20"/>
        </w:rPr>
      </w:pPr>
      <w:r>
        <w:rPr>
          <w:rFonts w:ascii="Arial" w:hAnsi="Arial" w:cs="Arial"/>
          <w:sz w:val="20"/>
          <w:szCs w:val="20"/>
        </w:rPr>
        <w:lastRenderedPageBreak/>
        <w:t> </w:t>
      </w:r>
    </w:p>
    <w:p w14:paraId="0AE65DBF" w14:textId="77777777" w:rsidR="003213F2" w:rsidRDefault="009C165D">
      <w:pPr>
        <w:pStyle w:val="NormalWeb"/>
        <w:spacing w:before="40" w:beforeAutospacing="0" w:after="40" w:afterAutospacing="0"/>
        <w:jc w:val="right"/>
        <w:divId w:val="2085252859"/>
        <w:rPr>
          <w:sz w:val="20"/>
          <w:szCs w:val="20"/>
        </w:rPr>
      </w:pPr>
      <w:r>
        <w:rPr>
          <w:b/>
          <w:bCs/>
          <w:sz w:val="20"/>
          <w:szCs w:val="20"/>
        </w:rPr>
        <w:t>Exhibit 99.2</w:t>
      </w:r>
    </w:p>
    <w:tbl>
      <w:tblPr>
        <w:tblW w:w="5000" w:type="pct"/>
        <w:jc w:val="center"/>
        <w:tblCellMar>
          <w:left w:w="0" w:type="dxa"/>
          <w:right w:w="0" w:type="dxa"/>
        </w:tblCellMar>
        <w:tblLook w:val="04A0" w:firstRow="1" w:lastRow="0" w:firstColumn="1" w:lastColumn="0" w:noHBand="0" w:noVBand="1"/>
      </w:tblPr>
      <w:tblGrid>
        <w:gridCol w:w="268"/>
        <w:gridCol w:w="18"/>
        <w:gridCol w:w="8676"/>
        <w:gridCol w:w="51"/>
        <w:gridCol w:w="20"/>
        <w:gridCol w:w="327"/>
      </w:tblGrid>
      <w:tr w:rsidR="003213F2" w14:paraId="4B7FAAE6" w14:textId="77777777" w:rsidTr="002B6776">
        <w:trPr>
          <w:divId w:val="2085252859"/>
          <w:cantSplit/>
          <w:jc w:val="center"/>
        </w:trPr>
        <w:tc>
          <w:tcPr>
            <w:tcW w:w="144" w:type="pct"/>
            <w:gridSpan w:val="2"/>
            <w:tcMar>
              <w:top w:w="0" w:type="dxa"/>
              <w:left w:w="108" w:type="dxa"/>
              <w:bottom w:w="0" w:type="dxa"/>
              <w:right w:w="108" w:type="dxa"/>
            </w:tcMar>
            <w:vAlign w:val="center"/>
            <w:hideMark/>
          </w:tcPr>
          <w:p w14:paraId="42A72634" w14:textId="77777777" w:rsidR="003213F2" w:rsidRDefault="003213F2">
            <w:pPr>
              <w:rPr>
                <w:sz w:val="20"/>
                <w:szCs w:val="20"/>
              </w:rPr>
            </w:pPr>
          </w:p>
        </w:tc>
        <w:tc>
          <w:tcPr>
            <w:tcW w:w="4682" w:type="pct"/>
            <w:gridSpan w:val="3"/>
            <w:tcMar>
              <w:top w:w="0" w:type="dxa"/>
              <w:left w:w="108" w:type="dxa"/>
              <w:bottom w:w="0" w:type="dxa"/>
              <w:right w:w="108" w:type="dxa"/>
            </w:tcMar>
            <w:hideMark/>
          </w:tcPr>
          <w:p w14:paraId="21716D1D" w14:textId="77777777" w:rsidR="003213F2" w:rsidRDefault="009C165D">
            <w:pPr>
              <w:pStyle w:val="NormalWeb"/>
              <w:spacing w:before="0" w:beforeAutospacing="0" w:after="0" w:afterAutospacing="0"/>
              <w:jc w:val="center"/>
            </w:pPr>
            <w:r>
              <w:rPr>
                <w:noProof/>
              </w:rPr>
              <w:drawing>
                <wp:inline distT="0" distB="0" distL="0" distR="0" wp14:anchorId="234D0AB6" wp14:editId="11E29D67">
                  <wp:extent cx="5715000" cy="3209925"/>
                  <wp:effectExtent l="0" t="0" r="0" b="9525"/>
                  <wp:docPr id="10" name="Picture 10"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175" w:type="pct"/>
            <w:tcMar>
              <w:top w:w="0" w:type="dxa"/>
              <w:left w:w="108" w:type="dxa"/>
              <w:bottom w:w="0" w:type="dxa"/>
              <w:right w:w="108" w:type="dxa"/>
            </w:tcMar>
            <w:vAlign w:val="center"/>
            <w:hideMark/>
          </w:tcPr>
          <w:p w14:paraId="1773AB4F" w14:textId="77777777" w:rsidR="003213F2" w:rsidRDefault="009C165D">
            <w:pPr>
              <w:pStyle w:val="NormalWeb"/>
              <w:spacing w:before="0" w:beforeAutospacing="0" w:after="0" w:afterAutospacing="0"/>
            </w:pPr>
            <w:r>
              <w:rPr>
                <w:rFonts w:ascii="Arial" w:hAnsi="Arial" w:cs="Arial"/>
                <w:color w:val="FFFFFF"/>
                <w:sz w:val="2"/>
                <w:szCs w:val="2"/>
              </w:rPr>
              <w:t>1 Acquisition of Apogee Therapeutics June 22, 2026</w:t>
            </w:r>
          </w:p>
        </w:tc>
      </w:tr>
      <w:tr w:rsidR="003213F2" w14:paraId="6D8EA283" w14:textId="77777777" w:rsidTr="002B6776">
        <w:trPr>
          <w:divId w:val="2085252859"/>
          <w:cantSplit/>
          <w:jc w:val="center"/>
        </w:trPr>
        <w:tc>
          <w:tcPr>
            <w:tcW w:w="144" w:type="pct"/>
            <w:gridSpan w:val="2"/>
            <w:tcMar>
              <w:top w:w="0" w:type="dxa"/>
              <w:left w:w="108" w:type="dxa"/>
              <w:bottom w:w="0" w:type="dxa"/>
              <w:right w:w="108" w:type="dxa"/>
            </w:tcMar>
            <w:vAlign w:val="center"/>
            <w:hideMark/>
          </w:tcPr>
          <w:p w14:paraId="5EDD1DB1" w14:textId="5CDA227A" w:rsidR="003213F2" w:rsidRDefault="009C165D">
            <w:pPr>
              <w:rPr>
                <w:rFonts w:ascii="Arial" w:hAnsi="Arial" w:cs="Arial"/>
                <w:sz w:val="20"/>
                <w:szCs w:val="20"/>
              </w:rPr>
            </w:pPr>
            <w:r>
              <w:rPr>
                <w:rFonts w:ascii="Arial" w:hAnsi="Arial" w:cs="Arial"/>
                <w:sz w:val="20"/>
                <w:szCs w:val="20"/>
              </w:rPr>
              <w:lastRenderedPageBreak/>
              <w:t> </w:t>
            </w:r>
          </w:p>
        </w:tc>
        <w:tc>
          <w:tcPr>
            <w:tcW w:w="4656" w:type="pct"/>
            <w:tcMar>
              <w:top w:w="0" w:type="dxa"/>
              <w:left w:w="108" w:type="dxa"/>
              <w:bottom w:w="0" w:type="dxa"/>
              <w:right w:w="108" w:type="dxa"/>
            </w:tcMar>
            <w:hideMark/>
          </w:tcPr>
          <w:p w14:paraId="63C8E624" w14:textId="77777777" w:rsidR="003213F2" w:rsidRDefault="009C165D">
            <w:pPr>
              <w:pStyle w:val="NormalWeb"/>
              <w:spacing w:before="0" w:beforeAutospacing="0" w:after="0" w:afterAutospacing="0"/>
              <w:jc w:val="center"/>
            </w:pPr>
            <w:r>
              <w:rPr>
                <w:noProof/>
              </w:rPr>
              <w:drawing>
                <wp:inline distT="0" distB="0" distL="0" distR="0" wp14:anchorId="789FE3CE" wp14:editId="3DBD20A8">
                  <wp:extent cx="5715000" cy="3209925"/>
                  <wp:effectExtent l="0" t="0" r="0" b="9525"/>
                  <wp:docPr id="11" name="Picture 11"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PHI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200" w:type="pct"/>
            <w:gridSpan w:val="3"/>
            <w:tcMar>
              <w:top w:w="0" w:type="dxa"/>
              <w:left w:w="108" w:type="dxa"/>
              <w:bottom w:w="0" w:type="dxa"/>
              <w:right w:w="108" w:type="dxa"/>
            </w:tcMar>
            <w:vAlign w:val="center"/>
            <w:hideMark/>
          </w:tcPr>
          <w:p w14:paraId="2D31E0ED" w14:textId="1FEDB54D" w:rsidR="003213F2" w:rsidRDefault="009C165D">
            <w:pPr>
              <w:pStyle w:val="NormalWeb"/>
              <w:spacing w:before="0" w:beforeAutospacing="0" w:after="0" w:afterAutospacing="0"/>
            </w:pPr>
            <w:r>
              <w:rPr>
                <w:rFonts w:ascii="Arial" w:hAnsi="Arial" w:cs="Arial"/>
                <w:color w:val="FFFFFF"/>
                <w:sz w:val="2"/>
                <w:szCs w:val="2"/>
              </w:rPr>
              <w:t xml:space="preserve">June 22, </w:t>
            </w:r>
            <w:proofErr w:type="gramStart"/>
            <w:r>
              <w:rPr>
                <w:rFonts w:ascii="Arial" w:hAnsi="Arial" w:cs="Arial"/>
                <w:color w:val="FFFFFF"/>
                <w:sz w:val="2"/>
                <w:szCs w:val="2"/>
              </w:rPr>
              <w:t>2026</w:t>
            </w:r>
            <w:proofErr w:type="gramEnd"/>
            <w:r>
              <w:rPr>
                <w:rFonts w:ascii="Arial" w:hAnsi="Arial" w:cs="Arial"/>
                <w:color w:val="FFFFFF"/>
                <w:sz w:val="2"/>
                <w:szCs w:val="2"/>
              </w:rPr>
              <w:t xml:space="preserve"> 2 This communication contains statements that constitute “forward-looking statements” within the meaning of the Private Securities Litigation Reform Act of 1995, Section 27A of the Securities Act of 1933 and Section 21E of the Securities Exchange Act of 1934, each as amended. All statements other than statements of historical fact, including statements regarding market and industry prospects and future results of operations or financial position made in this communication are forward-looking. In many c</w:t>
            </w:r>
            <w:r>
              <w:rPr>
                <w:rFonts w:ascii="Arial" w:hAnsi="Arial" w:cs="Arial"/>
                <w:color w:val="FFFFFF"/>
                <w:sz w:val="2"/>
                <w:szCs w:val="2"/>
              </w:rPr>
              <w:t>ases, you can identify forward-looking statements by terminology, such as “may,” “should,” “expects,” “intends,” “plans,” “anticipates,” “believes,” “estimates,” “predicts,” “potential,” “continue” or the negative of such terms and other comparable terminology. Statements in this communication that are forward-looking may include, but are not limited to, statements regarding the benefits of the proposed acquisition of Apogee Therapeutics, Inc. (“Apogee”) by AbbVie Inc. (“AbbVie”) and the associated integrat</w:t>
            </w:r>
            <w:r>
              <w:rPr>
                <w:rFonts w:ascii="Arial" w:hAnsi="Arial" w:cs="Arial"/>
                <w:color w:val="FFFFFF"/>
                <w:sz w:val="2"/>
                <w:szCs w:val="2"/>
              </w:rPr>
              <w:t xml:space="preserve">ion plans, anticipated future operating performance and results of Apogee, the expected accretion to </w:t>
            </w:r>
            <w:proofErr w:type="spellStart"/>
            <w:r>
              <w:rPr>
                <w:rFonts w:ascii="Arial" w:hAnsi="Arial" w:cs="Arial"/>
                <w:color w:val="FFFFFF"/>
                <w:sz w:val="2"/>
                <w:szCs w:val="2"/>
              </w:rPr>
              <w:t>Abbvie’s</w:t>
            </w:r>
            <w:proofErr w:type="spellEnd"/>
            <w:r>
              <w:rPr>
                <w:rFonts w:ascii="Arial" w:hAnsi="Arial" w:cs="Arial"/>
                <w:color w:val="FFFFFF"/>
                <w:sz w:val="2"/>
                <w:szCs w:val="2"/>
              </w:rPr>
              <w:t xml:space="preserve"> adjusted diluted earnings per share beginning in 2032, the expected timing of the closing of the proposed acquisition and other transactions contemplated by the merger agreement governing the proposed acquisition (the “Merger Agreement”), and the potential of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(APG777) and other Apogee’s pipeline assets. There may also be other statements of expectations, beliefs, </w:t>
            </w:r>
            <w:proofErr w:type="gramStart"/>
            <w:r>
              <w:rPr>
                <w:rFonts w:ascii="Arial" w:hAnsi="Arial" w:cs="Arial"/>
                <w:color w:val="FFFFFF"/>
                <w:sz w:val="2"/>
                <w:szCs w:val="2"/>
              </w:rPr>
              <w:t>future plans</w:t>
            </w:r>
            <w:proofErr w:type="gramEnd"/>
            <w:r>
              <w:rPr>
                <w:rFonts w:ascii="Arial" w:hAnsi="Arial" w:cs="Arial"/>
                <w:color w:val="FFFFFF"/>
                <w:sz w:val="2"/>
                <w:szCs w:val="2"/>
              </w:rPr>
              <w:t xml:space="preserve"> and strate</w:t>
            </w:r>
            <w:r>
              <w:rPr>
                <w:rFonts w:ascii="Arial" w:hAnsi="Arial" w:cs="Arial"/>
                <w:color w:val="FFFFFF"/>
                <w:sz w:val="2"/>
                <w:szCs w:val="2"/>
              </w:rPr>
              <w:t>gies, anticipated events or trends and similar expressions concerning matters that are not historical facts. Readers are cautioned that any such forward-looking statements are not guarantees of future performance and involve risks and uncertainties, many of which are difficult to predict and are generally outside Apogee’s control, that could cause actual performance or results to differ materially from those expressed in, or implied or projected by, the forward-looking statements. Such risks and uncertainti</w:t>
            </w:r>
            <w:r>
              <w:rPr>
                <w:rFonts w:ascii="Arial" w:hAnsi="Arial" w:cs="Arial"/>
                <w:color w:val="FFFFFF"/>
                <w:sz w:val="2"/>
                <w:szCs w:val="2"/>
              </w:rPr>
              <w:t xml:space="preserve">es include, but are not limited to: the occurrence of any event, change or other circumstance that could give rise to the right of Apogee or AbbVie or both of them to terminate the Merger Agreement, including circumstances requiring a party to pay the other party a termination fee pursuant to the Merger Agreement; the failure to obtain applicable regulatory or Apogee stockholder approval in a timely manner or otherwise; the risk that the proposed acquisition may not close in the anticipated timeframe or at </w:t>
            </w:r>
            <w:r>
              <w:rPr>
                <w:rFonts w:ascii="Arial" w:hAnsi="Arial" w:cs="Arial"/>
                <w:color w:val="FFFFFF"/>
                <w:sz w:val="2"/>
                <w:szCs w:val="2"/>
              </w:rPr>
              <w:t>all due to one or more of the other closing conditions to the transaction not being satisfied or waived; the possibility of competing acquisition proposals for Apogee; the risk that there may be unexpected costs, charges or expenses resulting from the proposed acquisition; risks related to the ability of Apogee and AbbVie to successfully integrate the businesses and the possibility that such integration may be more difficult, time consuming or costly than expected; risks that the proposed transaction disrup</w:t>
            </w:r>
            <w:r>
              <w:rPr>
                <w:rFonts w:ascii="Arial" w:hAnsi="Arial" w:cs="Arial"/>
                <w:color w:val="FFFFFF"/>
                <w:sz w:val="2"/>
                <w:szCs w:val="2"/>
              </w:rPr>
              <w:t xml:space="preserve">ts Apogee’s or AbbVie’s current plans and operations; the risk that certain restrictions during the pendency of the proposed transaction may impact Apogee’s ability to pursue certain business opportunities or strategic transactions; risks related to disruption of each company’s management’s time and attention from ongoing business operations due to the proposed transaction; the risk that any announcements relating to the proposed transaction could have adverse effects on the market price of Apogee’s and/or </w:t>
            </w:r>
            <w:r>
              <w:rPr>
                <w:rFonts w:ascii="Arial" w:hAnsi="Arial" w:cs="Arial"/>
                <w:color w:val="FFFFFF"/>
                <w:sz w:val="2"/>
                <w:szCs w:val="2"/>
              </w:rPr>
              <w:t>AbbVie’s common stock, credit ratings or operating results; the risk that the proposed transaction and its announcement could have an adverse effect on the ability of Apogee and AbbVie to retain and hire key personnel, to retain customers and to maintain relationships with each of their respective business partners, suppliers and customers and on their respective operating results and businesses generally; the risk of litigation that could be instituted against the parties to the Merger Agreement or their r</w:t>
            </w:r>
            <w:r>
              <w:rPr>
                <w:rFonts w:ascii="Arial" w:hAnsi="Arial" w:cs="Arial"/>
                <w:color w:val="FFFFFF"/>
                <w:sz w:val="2"/>
                <w:szCs w:val="2"/>
              </w:rPr>
              <w:t xml:space="preserve">espective directors, managers or officers and/or regulatory actions related to the proposed acquisition, including the effects of any outcomes related thereto; the risk that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(APG777) or APG273 and other Apogee’s pipeline assets may not demonstrate the anticipated success, safety, or efficacy in ongoing or future clinical trials; the risk that positive Phase 2 and Phase 1b interim results for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(APG777) may not be predictive of results in later-stage or larger clinical trials; challen</w:t>
            </w:r>
            <w:r>
              <w:rPr>
                <w:rFonts w:ascii="Arial" w:hAnsi="Arial" w:cs="Arial"/>
                <w:color w:val="FFFFFF"/>
                <w:sz w:val="2"/>
                <w:szCs w:val="2"/>
              </w:rPr>
              <w:t xml:space="preserve">ges to intellectual property; adverse litigation or government action; competition from other products; difficulties inherent in the research and development process; risks related to unpredictable and severe or catastrophic events, including but not limited to acts of terrorism, war or hostilities, </w:t>
            </w:r>
            <w:proofErr w:type="spellStart"/>
            <w:r>
              <w:rPr>
                <w:rFonts w:ascii="Arial" w:hAnsi="Arial" w:cs="Arial"/>
                <w:color w:val="FFFFFF"/>
                <w:sz w:val="2"/>
                <w:szCs w:val="2"/>
              </w:rPr>
              <w:t>cyber attacks</w:t>
            </w:r>
            <w:proofErr w:type="spellEnd"/>
            <w:r>
              <w:rPr>
                <w:rFonts w:ascii="Arial" w:hAnsi="Arial" w:cs="Arial"/>
                <w:color w:val="FFFFFF"/>
                <w:sz w:val="2"/>
                <w:szCs w:val="2"/>
              </w:rPr>
              <w:t>, or the impact of any pandemic, epidemic or outbreak of an infectious disease in the United States or worldwide on Apogee’s or AbbVie’s business, financial condition and results of operations, as w</w:t>
            </w:r>
            <w:r>
              <w:rPr>
                <w:rFonts w:ascii="Arial" w:hAnsi="Arial" w:cs="Arial"/>
                <w:color w:val="FFFFFF"/>
                <w:sz w:val="2"/>
                <w:szCs w:val="2"/>
              </w:rPr>
              <w:t xml:space="preserve">ell as the response thereto by each company’s management; and other business effects, including the effects of industry, market, economic, political or regulatory conditions. Also, </w:t>
            </w:r>
            <w:proofErr w:type="spellStart"/>
            <w:r>
              <w:rPr>
                <w:rFonts w:ascii="Arial" w:hAnsi="Arial" w:cs="Arial"/>
                <w:color w:val="FFFFFF"/>
                <w:sz w:val="2"/>
                <w:szCs w:val="2"/>
              </w:rPr>
              <w:t>Abbvie’s</w:t>
            </w:r>
            <w:proofErr w:type="spellEnd"/>
            <w:r>
              <w:rPr>
                <w:rFonts w:ascii="Arial" w:hAnsi="Arial" w:cs="Arial"/>
                <w:color w:val="FFFFFF"/>
                <w:sz w:val="2"/>
                <w:szCs w:val="2"/>
              </w:rPr>
              <w:t xml:space="preserve"> and Apogee’s actual results may differ materially from those contemplated by the forward-looking statements for a number of additional reasons as described in </w:t>
            </w:r>
            <w:proofErr w:type="spellStart"/>
            <w:r>
              <w:rPr>
                <w:rFonts w:ascii="Arial" w:hAnsi="Arial" w:cs="Arial"/>
                <w:color w:val="FFFFFF"/>
                <w:sz w:val="2"/>
                <w:szCs w:val="2"/>
              </w:rPr>
              <w:t>Abbvie’s</w:t>
            </w:r>
            <w:proofErr w:type="spellEnd"/>
            <w:r>
              <w:rPr>
                <w:rFonts w:ascii="Arial" w:hAnsi="Arial" w:cs="Arial"/>
                <w:color w:val="FFFFFF"/>
                <w:sz w:val="2"/>
                <w:szCs w:val="2"/>
              </w:rPr>
              <w:t xml:space="preserve"> and Apogee’s filings with the Securities and Exchange Commission (the “SEC”), including those set forth in the Risk Factors section and under any “Forward</w:t>
            </w:r>
            <w:r>
              <w:rPr>
                <w:rFonts w:ascii="Arial" w:hAnsi="Arial" w:cs="Arial"/>
                <w:color w:val="FFFFFF"/>
                <w:sz w:val="2"/>
                <w:szCs w:val="2"/>
              </w:rPr>
              <w:t xml:space="preserve">-Looking Statements” or similar heading in </w:t>
            </w:r>
            <w:proofErr w:type="spellStart"/>
            <w:r>
              <w:rPr>
                <w:rFonts w:ascii="Arial" w:hAnsi="Arial" w:cs="Arial"/>
                <w:color w:val="FFFFFF"/>
                <w:sz w:val="2"/>
                <w:szCs w:val="2"/>
              </w:rPr>
              <w:t>Abbvie’s</w:t>
            </w:r>
            <w:proofErr w:type="spellEnd"/>
            <w:r>
              <w:rPr>
                <w:rFonts w:ascii="Arial" w:hAnsi="Arial" w:cs="Arial"/>
                <w:color w:val="FFFFFF"/>
                <w:sz w:val="2"/>
                <w:szCs w:val="2"/>
              </w:rPr>
              <w:t xml:space="preserve"> and Apogee’s most recently filed Annual Report on Form 10-K filed on February 20, 2026 and March 2, 2026, respectively, and subsequent Quarterly Reports on Form 10-Q and Current Reports on Form 8-K. </w:t>
            </w:r>
            <w:proofErr w:type="spellStart"/>
            <w:r>
              <w:rPr>
                <w:rFonts w:ascii="Arial" w:hAnsi="Arial" w:cs="Arial"/>
                <w:color w:val="FFFFFF"/>
                <w:sz w:val="2"/>
                <w:szCs w:val="2"/>
              </w:rPr>
              <w:t>Abbvie</w:t>
            </w:r>
            <w:proofErr w:type="spellEnd"/>
            <w:r>
              <w:rPr>
                <w:rFonts w:ascii="Arial" w:hAnsi="Arial" w:cs="Arial"/>
                <w:color w:val="FFFFFF"/>
                <w:sz w:val="2"/>
                <w:szCs w:val="2"/>
              </w:rPr>
              <w:t xml:space="preserve"> and Apogee have based these forward-looking statements on their current expectations and projections about future events. Although the parties believe that the assumptions on which the forward-looking statements contained herein are based are reasonable,</w:t>
            </w:r>
            <w:r>
              <w:rPr>
                <w:rFonts w:ascii="Arial" w:hAnsi="Arial" w:cs="Arial"/>
                <w:color w:val="FFFFFF"/>
                <w:sz w:val="2"/>
                <w:szCs w:val="2"/>
              </w:rPr>
              <w:t xml:space="preserve"> any of those assumptions could prove to be inaccurate. As a result, the forward-looking statements based upon those assumptions also could be incorrect. Except to the extent required by law, </w:t>
            </w:r>
            <w:proofErr w:type="spellStart"/>
            <w:r>
              <w:rPr>
                <w:rFonts w:ascii="Arial" w:hAnsi="Arial" w:cs="Arial"/>
                <w:color w:val="FFFFFF"/>
                <w:sz w:val="2"/>
                <w:szCs w:val="2"/>
              </w:rPr>
              <w:t>Abbvie</w:t>
            </w:r>
            <w:proofErr w:type="spellEnd"/>
            <w:r>
              <w:rPr>
                <w:rFonts w:ascii="Arial" w:hAnsi="Arial" w:cs="Arial"/>
                <w:color w:val="FFFFFF"/>
                <w:sz w:val="2"/>
                <w:szCs w:val="2"/>
              </w:rPr>
              <w:t xml:space="preserve"> and Apogee undertake no obligation to publicly update or revise any forward-looking statements, whether </w:t>
            </w:r>
            <w:proofErr w:type="gramStart"/>
            <w:r>
              <w:rPr>
                <w:rFonts w:ascii="Arial" w:hAnsi="Arial" w:cs="Arial"/>
                <w:color w:val="FFFFFF"/>
                <w:sz w:val="2"/>
                <w:szCs w:val="2"/>
              </w:rPr>
              <w:t>as a result of</w:t>
            </w:r>
            <w:proofErr w:type="gramEnd"/>
            <w:r>
              <w:rPr>
                <w:rFonts w:ascii="Arial" w:hAnsi="Arial" w:cs="Arial"/>
                <w:color w:val="FFFFFF"/>
                <w:sz w:val="2"/>
                <w:szCs w:val="2"/>
              </w:rPr>
              <w:t xml:space="preserve"> new information, future events or otherwise. This presentation contains certain non-GAAP financial measures. Non-GAAP financial measures are adjusted for certain non-cash items and for factors t</w:t>
            </w:r>
            <w:r>
              <w:rPr>
                <w:rFonts w:ascii="Arial" w:hAnsi="Arial" w:cs="Arial"/>
                <w:color w:val="FFFFFF"/>
                <w:sz w:val="2"/>
                <w:szCs w:val="2"/>
              </w:rPr>
              <w:t xml:space="preserve">hat are unusual or unpredictable, and exclude those costs, expenses and other specified items presented in AbbVie’s reconciliation tables. AbbVie’s management believes non-GAAP financial measures provide useful information to investors regarding AbbVie’s results of operations and </w:t>
            </w:r>
            <w:proofErr w:type="gramStart"/>
            <w:r>
              <w:rPr>
                <w:rFonts w:ascii="Arial" w:hAnsi="Arial" w:cs="Arial"/>
                <w:color w:val="FFFFFF"/>
                <w:sz w:val="2"/>
                <w:szCs w:val="2"/>
              </w:rPr>
              <w:t>assist</w:t>
            </w:r>
            <w:proofErr w:type="gramEnd"/>
            <w:r>
              <w:rPr>
                <w:rFonts w:ascii="Arial" w:hAnsi="Arial" w:cs="Arial"/>
                <w:color w:val="FFFFFF"/>
                <w:sz w:val="2"/>
                <w:szCs w:val="2"/>
              </w:rPr>
              <w:t xml:space="preserve"> management, analysts and investors in evaluating the performance of the business. Non-GAAP financial measures should be considered in addition to, and not as a substitute for, measures of financial performance prepared in ac</w:t>
            </w:r>
            <w:r>
              <w:rPr>
                <w:rFonts w:ascii="Arial" w:hAnsi="Arial" w:cs="Arial"/>
                <w:color w:val="FFFFFF"/>
                <w:sz w:val="2"/>
                <w:szCs w:val="2"/>
              </w:rPr>
              <w:t>cordance with GAAP. AbbVie does not provide a reconciliation of forward-looking non-GAAP financial measures to the most directly comparable GAAP reported financial measures on a forward-looking basis because it is unable to predict with reasonable certainty the ultimate outcome of unusual gains and losses, certain acquisition-related expenses, gains and losses from equity securities, actuarial gains and losses from pension and postretirement plan remeasurements, potential future asset impairments and pendin</w:t>
            </w:r>
            <w:r>
              <w:rPr>
                <w:rFonts w:ascii="Arial" w:hAnsi="Arial" w:cs="Arial"/>
                <w:color w:val="FFFFFF"/>
                <w:sz w:val="2"/>
                <w:szCs w:val="2"/>
              </w:rPr>
              <w:t xml:space="preserve">g litigation without unreasonable effort. These items are uncertain, depend on various factors and could have a material impact on GAAP reported results for the guidance period. This presentation is intended for the investor community only; materials are not intended to promote the products referenced herein or otherwise influence healthcare prescribing decisions. Forward-Looking Statements and Non-GAAP Financial </w:t>
            </w:r>
            <w:proofErr w:type="spellStart"/>
            <w:r>
              <w:rPr>
                <w:rFonts w:ascii="Arial" w:hAnsi="Arial" w:cs="Arial"/>
                <w:color w:val="FFFFFF"/>
                <w:sz w:val="2"/>
                <w:szCs w:val="2"/>
              </w:rPr>
              <w:t>ormation</w:t>
            </w:r>
            <w:proofErr w:type="spellEnd"/>
          </w:p>
        </w:tc>
      </w:tr>
      <w:tr w:rsidR="003213F2" w14:paraId="24F0242E" w14:textId="77777777" w:rsidTr="002B6776">
        <w:trPr>
          <w:divId w:val="2085252859"/>
          <w:cantSplit/>
          <w:jc w:val="center"/>
        </w:trPr>
        <w:tc>
          <w:tcPr>
            <w:tcW w:w="119" w:type="pct"/>
            <w:tcMar>
              <w:top w:w="0" w:type="dxa"/>
              <w:left w:w="108" w:type="dxa"/>
              <w:bottom w:w="0" w:type="dxa"/>
              <w:right w:w="108" w:type="dxa"/>
            </w:tcMar>
            <w:vAlign w:val="center"/>
            <w:hideMark/>
          </w:tcPr>
          <w:p w14:paraId="7A867A53" w14:textId="2826CD00" w:rsidR="003213F2" w:rsidRDefault="009C165D">
            <w:pPr>
              <w:rPr>
                <w:rFonts w:ascii="Arial" w:hAnsi="Arial" w:cs="Arial"/>
                <w:sz w:val="20"/>
                <w:szCs w:val="20"/>
              </w:rPr>
            </w:pPr>
            <w:r>
              <w:rPr>
                <w:rFonts w:ascii="Arial" w:hAnsi="Arial" w:cs="Arial"/>
                <w:sz w:val="20"/>
                <w:szCs w:val="20"/>
              </w:rPr>
              <w:lastRenderedPageBreak/>
              <w:t> </w:t>
            </w:r>
          </w:p>
        </w:tc>
        <w:tc>
          <w:tcPr>
            <w:tcW w:w="4703" w:type="pct"/>
            <w:gridSpan w:val="3"/>
            <w:tcMar>
              <w:top w:w="0" w:type="dxa"/>
              <w:left w:w="108" w:type="dxa"/>
              <w:bottom w:w="0" w:type="dxa"/>
              <w:right w:w="108" w:type="dxa"/>
            </w:tcMar>
            <w:hideMark/>
          </w:tcPr>
          <w:p w14:paraId="140FC714" w14:textId="77777777" w:rsidR="003213F2" w:rsidRDefault="009C165D">
            <w:pPr>
              <w:pStyle w:val="NormalWeb"/>
              <w:spacing w:before="0" w:beforeAutospacing="0" w:after="0" w:afterAutospacing="0"/>
              <w:jc w:val="center"/>
            </w:pPr>
            <w:r>
              <w:rPr>
                <w:noProof/>
              </w:rPr>
              <w:drawing>
                <wp:inline distT="0" distB="0" distL="0" distR="0" wp14:anchorId="1A526E25" wp14:editId="1B9A9544">
                  <wp:extent cx="5715000" cy="3209925"/>
                  <wp:effectExtent l="0" t="0" r="0" b="9525"/>
                  <wp:docPr id="12" name="Picture 1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PHI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178" w:type="pct"/>
            <w:gridSpan w:val="2"/>
            <w:tcMar>
              <w:top w:w="0" w:type="dxa"/>
              <w:left w:w="108" w:type="dxa"/>
              <w:bottom w:w="0" w:type="dxa"/>
              <w:right w:w="108" w:type="dxa"/>
            </w:tcMar>
            <w:vAlign w:val="center"/>
            <w:hideMark/>
          </w:tcPr>
          <w:p w14:paraId="3C5506BC" w14:textId="77777777" w:rsidR="003213F2" w:rsidRDefault="009C165D">
            <w:pPr>
              <w:pStyle w:val="NormalWeb"/>
              <w:spacing w:before="0" w:beforeAutospacing="0" w:after="0" w:afterAutospacing="0"/>
            </w:pPr>
            <w:r>
              <w:rPr>
                <w:rFonts w:ascii="Arial" w:hAnsi="Arial" w:cs="Arial"/>
                <w:color w:val="FFFFFF"/>
                <w:sz w:val="2"/>
                <w:szCs w:val="2"/>
              </w:rPr>
              <w:t xml:space="preserve">June 22, </w:t>
            </w:r>
            <w:proofErr w:type="gramStart"/>
            <w:r>
              <w:rPr>
                <w:rFonts w:ascii="Arial" w:hAnsi="Arial" w:cs="Arial"/>
                <w:color w:val="FFFFFF"/>
                <w:sz w:val="2"/>
                <w:szCs w:val="2"/>
              </w:rPr>
              <w:t>2026</w:t>
            </w:r>
            <w:proofErr w:type="gramEnd"/>
            <w:r>
              <w:rPr>
                <w:rFonts w:ascii="Arial" w:hAnsi="Arial" w:cs="Arial"/>
                <w:color w:val="FFFFFF"/>
                <w:sz w:val="2"/>
                <w:szCs w:val="2"/>
              </w:rPr>
              <w:t xml:space="preserve"> 3 Strong Strategic Fit for AbbVie Leverages AbbVie’s regulatory and clinical expertise, commercial capabilities and international infrastructure to maximize Apogee’s high-value assets Complements AbbVie’s Immunology pipeline by adding multiple potentially differentiated assets to treat inflammatory diseases Potential for substantial shareholder value creation with mega-blockbuster peak sales potential across Apogee’s pipeline of assets</w:t>
            </w:r>
          </w:p>
        </w:tc>
      </w:tr>
    </w:tbl>
    <w:p w14:paraId="2BA8AFEF" w14:textId="77777777" w:rsidR="003213F2" w:rsidRDefault="009C165D">
      <w:pPr>
        <w:pStyle w:val="NormalWeb"/>
        <w:pageBreakBefore/>
        <w:spacing w:before="0" w:beforeAutospacing="0" w:after="0" w:afterAutospacing="0"/>
        <w:jc w:val="center"/>
        <w:divId w:val="985277055"/>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795"/>
        <w:gridCol w:w="343"/>
      </w:tblGrid>
      <w:tr w:rsidR="003213F2" w14:paraId="0BBA4DD7" w14:textId="77777777">
        <w:trPr>
          <w:divId w:val="2085252859"/>
          <w:cantSplit/>
          <w:jc w:val="center"/>
        </w:trPr>
        <w:tc>
          <w:tcPr>
            <w:tcW w:w="385" w:type="pct"/>
            <w:tcMar>
              <w:top w:w="0" w:type="dxa"/>
              <w:left w:w="108" w:type="dxa"/>
              <w:bottom w:w="0" w:type="dxa"/>
              <w:right w:w="108" w:type="dxa"/>
            </w:tcMar>
            <w:vAlign w:val="center"/>
            <w:hideMark/>
          </w:tcPr>
          <w:p w14:paraId="017238A6"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15F3DD19" w14:textId="77777777" w:rsidR="003213F2" w:rsidRDefault="009C165D">
            <w:pPr>
              <w:pStyle w:val="NormalWeb"/>
              <w:spacing w:before="0" w:beforeAutospacing="0" w:after="0" w:afterAutospacing="0"/>
              <w:jc w:val="center"/>
            </w:pPr>
            <w:r>
              <w:rPr>
                <w:noProof/>
              </w:rPr>
              <w:drawing>
                <wp:inline distT="0" distB="0" distL="0" distR="0" wp14:anchorId="3E128B9F" wp14:editId="145D0914">
                  <wp:extent cx="5715000" cy="3209925"/>
                  <wp:effectExtent l="0" t="0" r="0" b="9525"/>
                  <wp:docPr id="13" name="Picture 13"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PHI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4775C2AD" w14:textId="77777777" w:rsidR="003213F2" w:rsidRDefault="009C165D">
            <w:pPr>
              <w:pStyle w:val="NormalWeb"/>
              <w:spacing w:before="0" w:beforeAutospacing="0" w:after="0" w:afterAutospacing="0"/>
            </w:pPr>
            <w:r>
              <w:rPr>
                <w:rFonts w:ascii="Arial" w:hAnsi="Arial" w:cs="Arial"/>
                <w:color w:val="FFFFFF"/>
                <w:sz w:val="2"/>
                <w:szCs w:val="2"/>
              </w:rPr>
              <w:t xml:space="preserve">June 22, 2026 4 Apogee Overview Clinical-stage biotechnology company advancing novel biologics with potential for differentiated efficacy and dosing for the treatment of atopic dermatitis, asthma and other inflammatory conditions • Portfolio of long-acting antibodies targeting well-established biological drivers in immunology • Potential to treat numerous inflammatory conditions • Potential to achieve improved efficacy and dosing through monotherapies and combinations of novel antibodies • Lead asset,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demonstrated potentially best-in-category efficacy and favorable safety with Q12W and Q24W dosing in Ph2 atopic dermatitis study •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expected to significantly improve dosing frequency compared to existing biologics, potentially requiring fewer than half the number of injection days •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expansion potential in dermatology and respiratory as a monotherapy or coformulation with APG333 (half-life extended anti-TSLP antibody)</w:t>
            </w:r>
          </w:p>
        </w:tc>
      </w:tr>
    </w:tbl>
    <w:p w14:paraId="0548EAF4" w14:textId="77777777" w:rsidR="003213F2" w:rsidRDefault="009C165D">
      <w:pPr>
        <w:pStyle w:val="NormalWeb"/>
        <w:pageBreakBefore/>
        <w:spacing w:before="0" w:beforeAutospacing="0" w:after="0" w:afterAutospacing="0"/>
        <w:jc w:val="center"/>
        <w:divId w:val="1365667398"/>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776"/>
        <w:gridCol w:w="362"/>
      </w:tblGrid>
      <w:tr w:rsidR="003213F2" w14:paraId="4D5661B5" w14:textId="77777777">
        <w:trPr>
          <w:divId w:val="2085252859"/>
          <w:cantSplit/>
          <w:jc w:val="center"/>
        </w:trPr>
        <w:tc>
          <w:tcPr>
            <w:tcW w:w="385" w:type="pct"/>
            <w:tcMar>
              <w:top w:w="0" w:type="dxa"/>
              <w:left w:w="108" w:type="dxa"/>
              <w:bottom w:w="0" w:type="dxa"/>
              <w:right w:w="108" w:type="dxa"/>
            </w:tcMar>
            <w:vAlign w:val="center"/>
            <w:hideMark/>
          </w:tcPr>
          <w:p w14:paraId="596A4ECF"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5E5E2F91" w14:textId="77777777" w:rsidR="003213F2" w:rsidRDefault="009C165D">
            <w:pPr>
              <w:pStyle w:val="NormalWeb"/>
              <w:spacing w:before="0" w:beforeAutospacing="0" w:after="0" w:afterAutospacing="0"/>
              <w:jc w:val="center"/>
            </w:pPr>
            <w:r>
              <w:rPr>
                <w:noProof/>
              </w:rPr>
              <w:drawing>
                <wp:inline distT="0" distB="0" distL="0" distR="0" wp14:anchorId="0A364E6D" wp14:editId="503200A8">
                  <wp:extent cx="5715000" cy="3209925"/>
                  <wp:effectExtent l="0" t="0" r="0" b="9525"/>
                  <wp:docPr id="14" name="Picture 14"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APHI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5E53BBBE" w14:textId="77777777" w:rsidR="003213F2" w:rsidRDefault="009C165D">
            <w:pPr>
              <w:pStyle w:val="NormalWeb"/>
              <w:spacing w:before="0" w:beforeAutospacing="0" w:after="0" w:afterAutospacing="0"/>
            </w:pPr>
            <w:r>
              <w:rPr>
                <w:rFonts w:ascii="Arial" w:hAnsi="Arial" w:cs="Arial"/>
                <w:color w:val="FFFFFF"/>
                <w:sz w:val="2"/>
                <w:szCs w:val="2"/>
              </w:rPr>
              <w:t xml:space="preserve">June 22, 2026 5 Apogee Well-Aligned With AbbVie Strategic Goals in Immunology ELEVATE CARE OFFER CONVENIENCE DEVELOP CURES </w:t>
            </w:r>
            <w:proofErr w:type="spellStart"/>
            <w:r>
              <w:rPr>
                <w:rFonts w:ascii="Arial" w:hAnsi="Arial" w:cs="Arial"/>
                <w:color w:val="FFFFFF"/>
                <w:sz w:val="2"/>
                <w:szCs w:val="2"/>
              </w:rPr>
              <w:t>Rinvoq</w:t>
            </w:r>
            <w:proofErr w:type="spellEnd"/>
            <w:r>
              <w:rPr>
                <w:rFonts w:ascii="Arial" w:hAnsi="Arial" w:cs="Arial"/>
                <w:color w:val="FFFFFF"/>
                <w:sz w:val="2"/>
                <w:szCs w:val="2"/>
              </w:rPr>
              <w:t xml:space="preserve"> AA, Vitiligo, HS, SLE </w:t>
            </w:r>
            <w:proofErr w:type="spellStart"/>
            <w:r>
              <w:rPr>
                <w:rFonts w:ascii="Arial" w:hAnsi="Arial" w:cs="Arial"/>
                <w:color w:val="FFFFFF"/>
                <w:sz w:val="2"/>
                <w:szCs w:val="2"/>
              </w:rPr>
              <w:t>Lutikizumab</w:t>
            </w:r>
            <w:proofErr w:type="spellEnd"/>
            <w:r>
              <w:rPr>
                <w:rFonts w:ascii="Arial" w:hAnsi="Arial" w:cs="Arial"/>
                <w:color w:val="FFFFFF"/>
                <w:sz w:val="2"/>
                <w:szCs w:val="2"/>
              </w:rPr>
              <w:t xml:space="preserve"> HS </w:t>
            </w:r>
            <w:proofErr w:type="spellStart"/>
            <w:r>
              <w:rPr>
                <w:rFonts w:ascii="Arial" w:hAnsi="Arial" w:cs="Arial"/>
                <w:color w:val="FFFFFF"/>
                <w:sz w:val="2"/>
                <w:szCs w:val="2"/>
              </w:rPr>
              <w:t>Skyrizi</w:t>
            </w:r>
            <w:proofErr w:type="spellEnd"/>
            <w:r>
              <w:rPr>
                <w:rFonts w:ascii="Arial" w:hAnsi="Arial" w:cs="Arial"/>
                <w:color w:val="FFFFFF"/>
                <w:sz w:val="2"/>
                <w:szCs w:val="2"/>
              </w:rPr>
              <w:t xml:space="preserve"> </w:t>
            </w:r>
            <w:proofErr w:type="spellStart"/>
            <w:r>
              <w:rPr>
                <w:rFonts w:ascii="Arial" w:hAnsi="Arial" w:cs="Arial"/>
                <w:color w:val="FFFFFF"/>
                <w:sz w:val="2"/>
                <w:szCs w:val="2"/>
              </w:rPr>
              <w:t>SubQ</w:t>
            </w:r>
            <w:proofErr w:type="spellEnd"/>
            <w:r>
              <w:rPr>
                <w:rFonts w:ascii="Arial" w:hAnsi="Arial" w:cs="Arial"/>
                <w:color w:val="FFFFFF"/>
                <w:sz w:val="2"/>
                <w:szCs w:val="2"/>
              </w:rPr>
              <w:t xml:space="preserve"> Induction in IBD B-cell Depletion in Rheumatology Oral Peptides for </w:t>
            </w:r>
            <w:proofErr w:type="spellStart"/>
            <w:r>
              <w:rPr>
                <w:rFonts w:ascii="Arial" w:hAnsi="Arial" w:cs="Arial"/>
                <w:color w:val="FFFFFF"/>
                <w:sz w:val="2"/>
                <w:szCs w:val="2"/>
              </w:rPr>
              <w:t>PsO</w:t>
            </w:r>
            <w:proofErr w:type="spellEnd"/>
            <w:r>
              <w:rPr>
                <w:rFonts w:ascii="Arial" w:hAnsi="Arial" w:cs="Arial"/>
                <w:color w:val="FFFFFF"/>
                <w:sz w:val="2"/>
                <w:szCs w:val="2"/>
              </w:rPr>
              <w:t xml:space="preserve">, PsA &amp; IBD Novel Combinations in Dermatology IL23 / IL1/ / Amylin Novel Combinations in Gastroenterology IL23 / 47 / TL1A / TREM1 / JAK / LPAR1 Novel Combinations in Rheumatology IL23 / TL1A / IL1/ / CD40 / TREM1 / JAK / LPAR1 Bispecific Antibodies Longer-Acting Antibodies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Monotherapy in Atopic Dermatitis &amp; Other Inflammatory Conditions APG273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 APG333) </w:t>
            </w:r>
            <w:r>
              <w:rPr>
                <w:rFonts w:ascii="Arial" w:hAnsi="Arial" w:cs="Arial"/>
                <w:color w:val="FFFFFF"/>
                <w:sz w:val="2"/>
                <w:szCs w:val="2"/>
              </w:rPr>
              <w:t xml:space="preserve">in Asthma &amp; COPD 1 2 3 AA: alopecia areata, COPD: chronic obstructive pulmonary disease, HS: hidradenitis suppurativa, IBD: inflammatory bowel disease, PsA: psoriatic arthritis, </w:t>
            </w:r>
            <w:proofErr w:type="spellStart"/>
            <w:r>
              <w:rPr>
                <w:rFonts w:ascii="Arial" w:hAnsi="Arial" w:cs="Arial"/>
                <w:color w:val="FFFFFF"/>
                <w:sz w:val="2"/>
                <w:szCs w:val="2"/>
              </w:rPr>
              <w:t>PsO</w:t>
            </w:r>
            <w:proofErr w:type="spellEnd"/>
            <w:r>
              <w:rPr>
                <w:rFonts w:ascii="Arial" w:hAnsi="Arial" w:cs="Arial"/>
                <w:color w:val="FFFFFF"/>
                <w:sz w:val="2"/>
                <w:szCs w:val="2"/>
              </w:rPr>
              <w:t>: psoriasis, SLE: systemic lupus erythematosus Pipeline Focused on Next-Generation Medicines to Elevate Standard of Care Broad Immune Modulating Effect EVOLUTION OF ABBVIE IMMUNOLOGY INNOVATION Increased Specificity, Efficacy and/or Convenience</w:t>
            </w:r>
          </w:p>
        </w:tc>
      </w:tr>
    </w:tbl>
    <w:p w14:paraId="05EF35FF" w14:textId="77777777" w:rsidR="003213F2" w:rsidRDefault="009C165D">
      <w:pPr>
        <w:pStyle w:val="NormalWeb"/>
        <w:pageBreakBefore/>
        <w:spacing w:before="0" w:beforeAutospacing="0" w:after="0" w:afterAutospacing="0"/>
        <w:jc w:val="center"/>
        <w:divId w:val="1706446273"/>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787"/>
        <w:gridCol w:w="351"/>
      </w:tblGrid>
      <w:tr w:rsidR="003213F2" w14:paraId="61904DD6" w14:textId="77777777">
        <w:trPr>
          <w:divId w:val="2085252859"/>
          <w:cantSplit/>
          <w:jc w:val="center"/>
        </w:trPr>
        <w:tc>
          <w:tcPr>
            <w:tcW w:w="385" w:type="pct"/>
            <w:tcMar>
              <w:top w:w="0" w:type="dxa"/>
              <w:left w:w="108" w:type="dxa"/>
              <w:bottom w:w="0" w:type="dxa"/>
              <w:right w:w="108" w:type="dxa"/>
            </w:tcMar>
            <w:vAlign w:val="center"/>
            <w:hideMark/>
          </w:tcPr>
          <w:p w14:paraId="44F737ED"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5B295317" w14:textId="77777777" w:rsidR="003213F2" w:rsidRDefault="009C165D">
            <w:pPr>
              <w:pStyle w:val="NormalWeb"/>
              <w:spacing w:before="0" w:beforeAutospacing="0" w:after="0" w:afterAutospacing="0"/>
              <w:jc w:val="center"/>
            </w:pPr>
            <w:r>
              <w:rPr>
                <w:noProof/>
              </w:rPr>
              <w:drawing>
                <wp:inline distT="0" distB="0" distL="0" distR="0" wp14:anchorId="1000668A" wp14:editId="2950164F">
                  <wp:extent cx="5715000" cy="3209925"/>
                  <wp:effectExtent l="0" t="0" r="0" b="9525"/>
                  <wp:docPr id="15" name="Picture 15"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5B658AF2" w14:textId="77777777" w:rsidR="003213F2" w:rsidRDefault="009C165D">
            <w:pPr>
              <w:pStyle w:val="NormalWeb"/>
              <w:spacing w:before="0" w:beforeAutospacing="0" w:after="0" w:afterAutospacing="0"/>
            </w:pPr>
            <w:r>
              <w:rPr>
                <w:rFonts w:ascii="Arial" w:hAnsi="Arial" w:cs="Arial"/>
                <w:color w:val="FFFFFF"/>
                <w:sz w:val="2"/>
                <w:szCs w:val="2"/>
              </w:rPr>
              <w:t xml:space="preserve">June 22, 2026 6 Apogee Highly Complementary to AbbVie’s Immunology Pipeline Phase 1 Phase 2 Phase 3 Under Regulatory Review ABBVIE IMMUNOLOGY PROGRAMS ABBV-313 (IL13/IL31R) Ph1 start Q3 2026 AD ABBV-142 (LPAR1) IPF </w:t>
            </w:r>
            <w:proofErr w:type="spellStart"/>
            <w:r>
              <w:rPr>
                <w:rFonts w:ascii="Arial" w:hAnsi="Arial" w:cs="Arial"/>
                <w:color w:val="FFFFFF"/>
                <w:sz w:val="2"/>
                <w:szCs w:val="2"/>
              </w:rPr>
              <w:t>Lutikizumab</w:t>
            </w:r>
            <w:proofErr w:type="spellEnd"/>
            <w:r>
              <w:rPr>
                <w:rFonts w:ascii="Arial" w:hAnsi="Arial" w:cs="Arial"/>
                <w:color w:val="FFFFFF"/>
                <w:sz w:val="2"/>
                <w:szCs w:val="2"/>
              </w:rPr>
              <w:t xml:space="preserve"> (IL1) HS </w:t>
            </w:r>
            <w:proofErr w:type="spellStart"/>
            <w:r>
              <w:rPr>
                <w:rFonts w:ascii="Arial" w:hAnsi="Arial" w:cs="Arial"/>
                <w:color w:val="FFFFFF"/>
                <w:sz w:val="2"/>
                <w:szCs w:val="2"/>
              </w:rPr>
              <w:t>Rinvoq</w:t>
            </w:r>
            <w:proofErr w:type="spellEnd"/>
            <w:r>
              <w:rPr>
                <w:rFonts w:ascii="Arial" w:hAnsi="Arial" w:cs="Arial"/>
                <w:color w:val="FFFFFF"/>
                <w:sz w:val="2"/>
                <w:szCs w:val="2"/>
              </w:rPr>
              <w:t xml:space="preserve"> (</w:t>
            </w:r>
            <w:proofErr w:type="spellStart"/>
            <w:r>
              <w:rPr>
                <w:rFonts w:ascii="Arial" w:hAnsi="Arial" w:cs="Arial"/>
                <w:color w:val="FFFFFF"/>
                <w:sz w:val="2"/>
                <w:szCs w:val="2"/>
              </w:rPr>
              <w:t>JAKi</w:t>
            </w:r>
            <w:proofErr w:type="spellEnd"/>
            <w:r>
              <w:rPr>
                <w:rFonts w:ascii="Arial" w:hAnsi="Arial" w:cs="Arial"/>
                <w:color w:val="FFFFFF"/>
                <w:sz w:val="2"/>
                <w:szCs w:val="2"/>
              </w:rPr>
              <w:t xml:space="preserve">) Alopecia Areata ABBV-319 (CD19 ADC) SLE, </w:t>
            </w:r>
            <w:proofErr w:type="spellStart"/>
            <w:r>
              <w:rPr>
                <w:rFonts w:ascii="Arial" w:hAnsi="Arial" w:cs="Arial"/>
                <w:color w:val="FFFFFF"/>
                <w:sz w:val="2"/>
                <w:szCs w:val="2"/>
              </w:rPr>
              <w:t>SjD</w:t>
            </w:r>
            <w:proofErr w:type="spellEnd"/>
            <w:r>
              <w:rPr>
                <w:rFonts w:ascii="Arial" w:hAnsi="Arial" w:cs="Arial"/>
                <w:color w:val="FFFFFF"/>
                <w:sz w:val="2"/>
                <w:szCs w:val="2"/>
              </w:rPr>
              <w:t xml:space="preserve"> ABBV-8736 (TREM1) CD </w:t>
            </w:r>
            <w:proofErr w:type="spellStart"/>
            <w:r>
              <w:rPr>
                <w:rFonts w:ascii="Arial" w:hAnsi="Arial" w:cs="Arial"/>
                <w:color w:val="FFFFFF"/>
                <w:sz w:val="2"/>
                <w:szCs w:val="2"/>
              </w:rPr>
              <w:t>Rinvoq</w:t>
            </w:r>
            <w:proofErr w:type="spellEnd"/>
            <w:r>
              <w:rPr>
                <w:rFonts w:ascii="Arial" w:hAnsi="Arial" w:cs="Arial"/>
                <w:color w:val="FFFFFF"/>
                <w:sz w:val="2"/>
                <w:szCs w:val="2"/>
              </w:rPr>
              <w:t xml:space="preserve"> (</w:t>
            </w:r>
            <w:proofErr w:type="spellStart"/>
            <w:r>
              <w:rPr>
                <w:rFonts w:ascii="Arial" w:hAnsi="Arial" w:cs="Arial"/>
                <w:color w:val="FFFFFF"/>
                <w:sz w:val="2"/>
                <w:szCs w:val="2"/>
              </w:rPr>
              <w:t>JAKi</w:t>
            </w:r>
            <w:proofErr w:type="spellEnd"/>
            <w:r>
              <w:rPr>
                <w:rFonts w:ascii="Arial" w:hAnsi="Arial" w:cs="Arial"/>
                <w:color w:val="FFFFFF"/>
                <w:sz w:val="2"/>
                <w:szCs w:val="2"/>
              </w:rPr>
              <w:t xml:space="preserve">) HS </w:t>
            </w:r>
            <w:proofErr w:type="spellStart"/>
            <w:r>
              <w:rPr>
                <w:rFonts w:ascii="Arial" w:hAnsi="Arial" w:cs="Arial"/>
                <w:color w:val="FFFFFF"/>
                <w:sz w:val="2"/>
                <w:szCs w:val="2"/>
              </w:rPr>
              <w:t>Rinvoq</w:t>
            </w:r>
            <w:proofErr w:type="spellEnd"/>
            <w:r>
              <w:rPr>
                <w:rFonts w:ascii="Arial" w:hAnsi="Arial" w:cs="Arial"/>
                <w:color w:val="FFFFFF"/>
                <w:sz w:val="2"/>
                <w:szCs w:val="2"/>
              </w:rPr>
              <w:t xml:space="preserve"> (</w:t>
            </w:r>
            <w:proofErr w:type="spellStart"/>
            <w:r>
              <w:rPr>
                <w:rFonts w:ascii="Arial" w:hAnsi="Arial" w:cs="Arial"/>
                <w:color w:val="FFFFFF"/>
                <w:sz w:val="2"/>
                <w:szCs w:val="2"/>
              </w:rPr>
              <w:t>JAKi</w:t>
            </w:r>
            <w:proofErr w:type="spellEnd"/>
            <w:r>
              <w:rPr>
                <w:rFonts w:ascii="Arial" w:hAnsi="Arial" w:cs="Arial"/>
                <w:color w:val="FFFFFF"/>
                <w:sz w:val="2"/>
                <w:szCs w:val="2"/>
              </w:rPr>
              <w:t xml:space="preserve">) Vitiligo ABBV-519 (CD19) RA, SLE </w:t>
            </w:r>
            <w:proofErr w:type="spellStart"/>
            <w:r>
              <w:rPr>
                <w:rFonts w:ascii="Arial" w:hAnsi="Arial" w:cs="Arial"/>
                <w:color w:val="FFFFFF"/>
                <w:sz w:val="2"/>
                <w:szCs w:val="2"/>
              </w:rPr>
              <w:t>Lutikizumab</w:t>
            </w:r>
            <w:proofErr w:type="spellEnd"/>
            <w:r>
              <w:rPr>
                <w:rFonts w:ascii="Arial" w:hAnsi="Arial" w:cs="Arial"/>
                <w:color w:val="FFFFFF"/>
                <w:sz w:val="2"/>
                <w:szCs w:val="2"/>
              </w:rPr>
              <w:t xml:space="preserve"> (IL1) + </w:t>
            </w:r>
            <w:proofErr w:type="spellStart"/>
            <w:r>
              <w:rPr>
                <w:rFonts w:ascii="Arial" w:hAnsi="Arial" w:cs="Arial"/>
                <w:color w:val="FFFFFF"/>
                <w:sz w:val="2"/>
                <w:szCs w:val="2"/>
              </w:rPr>
              <w:t>Ravagalimab</w:t>
            </w:r>
            <w:proofErr w:type="spellEnd"/>
            <w:r>
              <w:rPr>
                <w:rFonts w:ascii="Arial" w:hAnsi="Arial" w:cs="Arial"/>
                <w:color w:val="FFFFFF"/>
                <w:sz w:val="2"/>
                <w:szCs w:val="2"/>
              </w:rPr>
              <w:t xml:space="preserve"> (CD40) RA </w:t>
            </w:r>
            <w:proofErr w:type="spellStart"/>
            <w:r>
              <w:rPr>
                <w:rFonts w:ascii="Arial" w:hAnsi="Arial" w:cs="Arial"/>
                <w:color w:val="FFFFFF"/>
                <w:sz w:val="2"/>
                <w:szCs w:val="2"/>
              </w:rPr>
              <w:t>Rinvoq</w:t>
            </w:r>
            <w:proofErr w:type="spellEnd"/>
            <w:r>
              <w:rPr>
                <w:rFonts w:ascii="Arial" w:hAnsi="Arial" w:cs="Arial"/>
                <w:color w:val="FFFFFF"/>
                <w:sz w:val="2"/>
                <w:szCs w:val="2"/>
              </w:rPr>
              <w:t xml:space="preserve"> (</w:t>
            </w:r>
            <w:proofErr w:type="spellStart"/>
            <w:r>
              <w:rPr>
                <w:rFonts w:ascii="Arial" w:hAnsi="Arial" w:cs="Arial"/>
                <w:color w:val="FFFFFF"/>
                <w:sz w:val="2"/>
                <w:szCs w:val="2"/>
              </w:rPr>
              <w:t>JAKi</w:t>
            </w:r>
            <w:proofErr w:type="spellEnd"/>
            <w:r>
              <w:rPr>
                <w:rFonts w:ascii="Arial" w:hAnsi="Arial" w:cs="Arial"/>
                <w:color w:val="FFFFFF"/>
                <w:sz w:val="2"/>
                <w:szCs w:val="2"/>
              </w:rPr>
              <w:t xml:space="preserve">) SLE </w:t>
            </w:r>
            <w:proofErr w:type="spellStart"/>
            <w:r>
              <w:rPr>
                <w:rFonts w:ascii="Arial" w:hAnsi="Arial" w:cs="Arial"/>
                <w:color w:val="FFFFFF"/>
                <w:sz w:val="2"/>
                <w:szCs w:val="2"/>
              </w:rPr>
              <w:t>Skyrizi</w:t>
            </w:r>
            <w:proofErr w:type="spellEnd"/>
            <w:r>
              <w:rPr>
                <w:rFonts w:ascii="Arial" w:hAnsi="Arial" w:cs="Arial"/>
                <w:color w:val="FFFFFF"/>
                <w:sz w:val="2"/>
                <w:szCs w:val="2"/>
              </w:rPr>
              <w:t xml:space="preserve"> Subcutaneous Induction CD ABBV-547 (Long-Acting IL23) </w:t>
            </w:r>
            <w:proofErr w:type="spellStart"/>
            <w:r>
              <w:rPr>
                <w:rFonts w:ascii="Arial" w:hAnsi="Arial" w:cs="Arial"/>
                <w:color w:val="FFFFFF"/>
                <w:sz w:val="2"/>
                <w:szCs w:val="2"/>
              </w:rPr>
              <w:t>PsO</w:t>
            </w:r>
            <w:proofErr w:type="spellEnd"/>
            <w:r>
              <w:rPr>
                <w:rFonts w:ascii="Arial" w:hAnsi="Arial" w:cs="Arial"/>
                <w:color w:val="FFFFFF"/>
                <w:sz w:val="2"/>
                <w:szCs w:val="2"/>
              </w:rPr>
              <w:t xml:space="preserve"> </w:t>
            </w:r>
            <w:proofErr w:type="spellStart"/>
            <w:r>
              <w:rPr>
                <w:rFonts w:ascii="Arial" w:hAnsi="Arial" w:cs="Arial"/>
                <w:color w:val="FFFFFF"/>
                <w:sz w:val="2"/>
                <w:szCs w:val="2"/>
              </w:rPr>
              <w:t>Skyrizi</w:t>
            </w:r>
            <w:proofErr w:type="spellEnd"/>
            <w:r>
              <w:rPr>
                <w:rFonts w:ascii="Arial" w:hAnsi="Arial" w:cs="Arial"/>
                <w:color w:val="FFFFFF"/>
                <w:sz w:val="2"/>
                <w:szCs w:val="2"/>
              </w:rPr>
              <w:t xml:space="preserve"> (IL23) + ABBV-382 (47) CD, UC Ph2b start Q3 2026 ABBV-619 (CD19 CAR-T) RA, SLE </w:t>
            </w:r>
            <w:proofErr w:type="spellStart"/>
            <w:r>
              <w:rPr>
                <w:rFonts w:ascii="Arial" w:hAnsi="Arial" w:cs="Arial"/>
                <w:color w:val="FFFFFF"/>
                <w:sz w:val="2"/>
                <w:szCs w:val="2"/>
              </w:rPr>
              <w:t>Skyrizi</w:t>
            </w:r>
            <w:proofErr w:type="spellEnd"/>
            <w:r>
              <w:rPr>
                <w:rFonts w:ascii="Arial" w:hAnsi="Arial" w:cs="Arial"/>
                <w:color w:val="FFFFFF"/>
                <w:sz w:val="2"/>
                <w:szCs w:val="2"/>
              </w:rPr>
              <w:t xml:space="preserve"> (IL23) + ABBV-701 (TL1A) CD, UC Ph2b start Q3 2026 ABBV-722 (LPAR1i) IPF </w:t>
            </w:r>
            <w:proofErr w:type="spellStart"/>
            <w:r>
              <w:rPr>
                <w:rFonts w:ascii="Arial" w:hAnsi="Arial" w:cs="Arial"/>
                <w:color w:val="FFFFFF"/>
                <w:sz w:val="2"/>
                <w:szCs w:val="2"/>
              </w:rPr>
              <w:t>Skyrizi</w:t>
            </w:r>
            <w:proofErr w:type="spellEnd"/>
            <w:r>
              <w:rPr>
                <w:rFonts w:ascii="Arial" w:hAnsi="Arial" w:cs="Arial"/>
                <w:color w:val="FFFFFF"/>
                <w:sz w:val="2"/>
                <w:szCs w:val="2"/>
              </w:rPr>
              <w:t xml:space="preserve"> (IL23) + </w:t>
            </w:r>
            <w:proofErr w:type="spellStart"/>
            <w:r>
              <w:rPr>
                <w:rFonts w:ascii="Arial" w:hAnsi="Arial" w:cs="Arial"/>
                <w:color w:val="FFFFFF"/>
                <w:sz w:val="2"/>
                <w:szCs w:val="2"/>
              </w:rPr>
              <w:t>Lutikizumab</w:t>
            </w:r>
            <w:proofErr w:type="spellEnd"/>
            <w:r>
              <w:rPr>
                <w:rFonts w:ascii="Arial" w:hAnsi="Arial" w:cs="Arial"/>
                <w:color w:val="FFFFFF"/>
                <w:sz w:val="2"/>
                <w:szCs w:val="2"/>
              </w:rPr>
              <w:t xml:space="preserve"> (IL1) PsA ABBV-722 (LPAR</w:t>
            </w:r>
            <w:r>
              <w:rPr>
                <w:rFonts w:ascii="Arial" w:hAnsi="Arial" w:cs="Arial"/>
                <w:color w:val="FFFFFF"/>
                <w:sz w:val="2"/>
                <w:szCs w:val="2"/>
              </w:rPr>
              <w:t xml:space="preserve">1i) + </w:t>
            </w:r>
            <w:proofErr w:type="spellStart"/>
            <w:r>
              <w:rPr>
                <w:rFonts w:ascii="Arial" w:hAnsi="Arial" w:cs="Arial"/>
                <w:color w:val="FFFFFF"/>
                <w:sz w:val="2"/>
                <w:szCs w:val="2"/>
              </w:rPr>
              <w:t>Rinvoq</w:t>
            </w:r>
            <w:proofErr w:type="spellEnd"/>
            <w:r>
              <w:rPr>
                <w:rFonts w:ascii="Arial" w:hAnsi="Arial" w:cs="Arial"/>
                <w:color w:val="FFFFFF"/>
                <w:sz w:val="2"/>
                <w:szCs w:val="2"/>
              </w:rPr>
              <w:t xml:space="preserve"> (</w:t>
            </w:r>
            <w:proofErr w:type="spellStart"/>
            <w:r>
              <w:rPr>
                <w:rFonts w:ascii="Arial" w:hAnsi="Arial" w:cs="Arial"/>
                <w:color w:val="FFFFFF"/>
                <w:sz w:val="2"/>
                <w:szCs w:val="2"/>
              </w:rPr>
              <w:t>JAKi</w:t>
            </w:r>
            <w:proofErr w:type="spellEnd"/>
            <w:r>
              <w:rPr>
                <w:rFonts w:ascii="Arial" w:hAnsi="Arial" w:cs="Arial"/>
                <w:color w:val="FFFFFF"/>
                <w:sz w:val="2"/>
                <w:szCs w:val="2"/>
              </w:rPr>
              <w:t xml:space="preserve">) RA, </w:t>
            </w:r>
            <w:proofErr w:type="spellStart"/>
            <w:r>
              <w:rPr>
                <w:rFonts w:ascii="Arial" w:hAnsi="Arial" w:cs="Arial"/>
                <w:color w:val="FFFFFF"/>
                <w:sz w:val="2"/>
                <w:szCs w:val="2"/>
              </w:rPr>
              <w:t>SSc</w:t>
            </w:r>
            <w:proofErr w:type="spellEnd"/>
            <w:r>
              <w:rPr>
                <w:rFonts w:ascii="Arial" w:hAnsi="Arial" w:cs="Arial"/>
                <w:color w:val="FFFFFF"/>
                <w:sz w:val="2"/>
                <w:szCs w:val="2"/>
              </w:rPr>
              <w:t xml:space="preserve"> ABBV-848 (IRAK4i) RA ABBV-859 (IL23Ri) Ph1 start Q3 2026 </w:t>
            </w:r>
            <w:proofErr w:type="spellStart"/>
            <w:r>
              <w:rPr>
                <w:rFonts w:ascii="Arial" w:hAnsi="Arial" w:cs="Arial"/>
                <w:color w:val="FFFFFF"/>
                <w:sz w:val="2"/>
                <w:szCs w:val="2"/>
              </w:rPr>
              <w:t>PsO</w:t>
            </w:r>
            <w:proofErr w:type="spellEnd"/>
            <w:r>
              <w:rPr>
                <w:rFonts w:ascii="Arial" w:hAnsi="Arial" w:cs="Arial"/>
                <w:color w:val="FFFFFF"/>
                <w:sz w:val="2"/>
                <w:szCs w:val="2"/>
              </w:rPr>
              <w:t xml:space="preserve"> ABBV-1451 (IL1) HS APOGEE PROGRAMS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(IL13) Atopic Dermatitis (Positive Part B 16-week data) Ph3 start 2H26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Asthma (Positive Ph1b data)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Eosinophilic Esophagitis Ph2a start 2H26 APG273 (IL13 + TSLP) Asthma / COPD Clinical trial plans to be announced 2H26 AD: atopic dermatitis, CD: Crohn’s disease, COPD: chronic obstructive pulmonary disease, HS: hidradenitis suppurativa, IPF: idiopath</w:t>
            </w:r>
            <w:r>
              <w:rPr>
                <w:rFonts w:ascii="Arial" w:hAnsi="Arial" w:cs="Arial"/>
                <w:color w:val="FFFFFF"/>
                <w:sz w:val="2"/>
                <w:szCs w:val="2"/>
              </w:rPr>
              <w:t xml:space="preserve">ic pulmonary fibrosis, PsA: psoriatic arthritis, </w:t>
            </w:r>
            <w:proofErr w:type="spellStart"/>
            <w:r>
              <w:rPr>
                <w:rFonts w:ascii="Arial" w:hAnsi="Arial" w:cs="Arial"/>
                <w:color w:val="FFFFFF"/>
                <w:sz w:val="2"/>
                <w:szCs w:val="2"/>
              </w:rPr>
              <w:t>PsO</w:t>
            </w:r>
            <w:proofErr w:type="spellEnd"/>
            <w:r>
              <w:rPr>
                <w:rFonts w:ascii="Arial" w:hAnsi="Arial" w:cs="Arial"/>
                <w:color w:val="FFFFFF"/>
                <w:sz w:val="2"/>
                <w:szCs w:val="2"/>
              </w:rPr>
              <w:t xml:space="preserve">: psoriasis, RA: rheumatoid arthritis, </w:t>
            </w:r>
            <w:proofErr w:type="spellStart"/>
            <w:r>
              <w:rPr>
                <w:rFonts w:ascii="Arial" w:hAnsi="Arial" w:cs="Arial"/>
                <w:color w:val="FFFFFF"/>
                <w:sz w:val="2"/>
                <w:szCs w:val="2"/>
              </w:rPr>
              <w:t>SjD</w:t>
            </w:r>
            <w:proofErr w:type="spellEnd"/>
            <w:r>
              <w:rPr>
                <w:rFonts w:ascii="Arial" w:hAnsi="Arial" w:cs="Arial"/>
                <w:color w:val="FFFFFF"/>
                <w:sz w:val="2"/>
                <w:szCs w:val="2"/>
              </w:rPr>
              <w:t xml:space="preserve">: Sjögren's disease, SLE: systemic lupus erythematosus, </w:t>
            </w:r>
            <w:proofErr w:type="spellStart"/>
            <w:r>
              <w:rPr>
                <w:rFonts w:ascii="Arial" w:hAnsi="Arial" w:cs="Arial"/>
                <w:color w:val="FFFFFF"/>
                <w:sz w:val="2"/>
                <w:szCs w:val="2"/>
              </w:rPr>
              <w:t>SSc</w:t>
            </w:r>
            <w:proofErr w:type="spellEnd"/>
            <w:r>
              <w:rPr>
                <w:rFonts w:ascii="Arial" w:hAnsi="Arial" w:cs="Arial"/>
                <w:color w:val="FFFFFF"/>
                <w:sz w:val="2"/>
                <w:szCs w:val="2"/>
              </w:rPr>
              <w:t xml:space="preserve">: systemic sclerosis, UC: ulcerative colitis </w:t>
            </w:r>
          </w:p>
        </w:tc>
      </w:tr>
    </w:tbl>
    <w:p w14:paraId="78070878" w14:textId="77777777" w:rsidR="003213F2" w:rsidRDefault="009C165D">
      <w:pPr>
        <w:pStyle w:val="NormalWeb"/>
        <w:pageBreakBefore/>
        <w:spacing w:before="0" w:beforeAutospacing="0" w:after="0" w:afterAutospacing="0"/>
        <w:jc w:val="center"/>
        <w:divId w:val="945380223"/>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1"/>
        <w:gridCol w:w="8793"/>
        <w:gridCol w:w="346"/>
      </w:tblGrid>
      <w:tr w:rsidR="003213F2" w14:paraId="0E4642FC" w14:textId="77777777">
        <w:trPr>
          <w:divId w:val="2085252859"/>
          <w:cantSplit/>
          <w:jc w:val="center"/>
        </w:trPr>
        <w:tc>
          <w:tcPr>
            <w:tcW w:w="385" w:type="pct"/>
            <w:tcMar>
              <w:top w:w="0" w:type="dxa"/>
              <w:left w:w="108" w:type="dxa"/>
              <w:bottom w:w="0" w:type="dxa"/>
              <w:right w:w="108" w:type="dxa"/>
            </w:tcMar>
            <w:vAlign w:val="center"/>
            <w:hideMark/>
          </w:tcPr>
          <w:p w14:paraId="40DCDBDB"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73EB2890" w14:textId="77777777" w:rsidR="003213F2" w:rsidRDefault="009C165D">
            <w:pPr>
              <w:pStyle w:val="NormalWeb"/>
              <w:spacing w:before="0" w:beforeAutospacing="0" w:after="0" w:afterAutospacing="0"/>
              <w:jc w:val="center"/>
            </w:pPr>
            <w:r>
              <w:rPr>
                <w:noProof/>
              </w:rPr>
              <w:drawing>
                <wp:inline distT="0" distB="0" distL="0" distR="0" wp14:anchorId="5EAD77D6" wp14:editId="0074900C">
                  <wp:extent cx="5715000" cy="3209925"/>
                  <wp:effectExtent l="0" t="0" r="0" b="9525"/>
                  <wp:docPr id="16" name="Picture 16"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PHI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1F800B82" w14:textId="77777777" w:rsidR="003213F2" w:rsidRDefault="009C165D">
            <w:pPr>
              <w:pStyle w:val="NormalWeb"/>
              <w:spacing w:before="0" w:beforeAutospacing="0" w:after="0" w:afterAutospacing="0"/>
            </w:pPr>
            <w:r>
              <w:rPr>
                <w:rFonts w:ascii="Arial" w:hAnsi="Arial" w:cs="Arial"/>
                <w:color w:val="FFFFFF"/>
                <w:sz w:val="2"/>
                <w:szCs w:val="2"/>
              </w:rPr>
              <w:t xml:space="preserve">June 22, 2026 7 Atopic Dermatitis • ~$18 billion global revenues growing more than 15% annually • ~2.5x more moderate-to-severe patients than psoriasis • ~8% penetration for advanced therapies • Only ~20% of patients simultaneously achieve itch and skin improvement (NRS 0/1 &amp; EASI90) on today’s best therapies • Opportunities for novel treatments that provide improved convenience or better skin clearance / itch resolution • AD is frequently comorbid with other T2-mediated diseases • ~25% of AD patients also </w:t>
            </w:r>
            <w:r>
              <w:rPr>
                <w:rFonts w:ascii="Arial" w:hAnsi="Arial" w:cs="Arial"/>
                <w:color w:val="FFFFFF"/>
                <w:sz w:val="2"/>
                <w:szCs w:val="2"/>
              </w:rPr>
              <w:t xml:space="preserve">have asthma • ~40% of AD patients have allergic rhinitis, including chronic rhinosinusitis with nasal polyps Transaction unlocks a more comprehensive portfolio of therapies for AD patients •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as potential early-line option offering best-in-category efficacy and dosing • </w:t>
            </w:r>
            <w:proofErr w:type="spellStart"/>
            <w:r>
              <w:rPr>
                <w:rFonts w:ascii="Arial" w:hAnsi="Arial" w:cs="Arial"/>
                <w:color w:val="FFFFFF"/>
                <w:sz w:val="2"/>
                <w:szCs w:val="2"/>
              </w:rPr>
              <w:t>Rinvoq</w:t>
            </w:r>
            <w:proofErr w:type="spellEnd"/>
            <w:r>
              <w:rPr>
                <w:rFonts w:ascii="Arial" w:hAnsi="Arial" w:cs="Arial"/>
                <w:color w:val="FFFFFF"/>
                <w:sz w:val="2"/>
                <w:szCs w:val="2"/>
              </w:rPr>
              <w:t xml:space="preserve"> as a highly effective oral option for patients not adequately controlled with other systemic drug products, including biologics High Overlap With Other Inflammatory Conditions High Unmet Need Large and Growing Atopic Derma</w:t>
            </w:r>
            <w:r>
              <w:rPr>
                <w:rFonts w:ascii="Arial" w:hAnsi="Arial" w:cs="Arial"/>
                <w:color w:val="FFFFFF"/>
                <w:sz w:val="2"/>
                <w:szCs w:val="2"/>
              </w:rPr>
              <w:t xml:space="preserve">titis Therapeutic Area Source: Evaluate Pharma, AbbVie internal estimates, </w:t>
            </w:r>
            <w:proofErr w:type="spellStart"/>
            <w:r>
              <w:rPr>
                <w:rFonts w:ascii="Arial" w:hAnsi="Arial" w:cs="Arial"/>
                <w:color w:val="FFFFFF"/>
                <w:sz w:val="2"/>
                <w:szCs w:val="2"/>
              </w:rPr>
              <w:t>Rinvoq</w:t>
            </w:r>
            <w:proofErr w:type="spellEnd"/>
            <w:r>
              <w:rPr>
                <w:rFonts w:ascii="Arial" w:hAnsi="Arial" w:cs="Arial"/>
                <w:color w:val="FFFFFF"/>
                <w:sz w:val="2"/>
                <w:szCs w:val="2"/>
              </w:rPr>
              <w:t xml:space="preserve"> Phase 3 Level-Up data, PMID: 32112994, PMID: 33684526 </w:t>
            </w:r>
          </w:p>
        </w:tc>
      </w:tr>
    </w:tbl>
    <w:p w14:paraId="38847F56" w14:textId="77777777" w:rsidR="003213F2" w:rsidRDefault="009C165D">
      <w:pPr>
        <w:pStyle w:val="NormalWeb"/>
        <w:pageBreakBefore/>
        <w:spacing w:before="0" w:beforeAutospacing="0" w:after="0" w:afterAutospacing="0"/>
        <w:jc w:val="center"/>
        <w:divId w:val="1138571876"/>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804"/>
        <w:gridCol w:w="334"/>
      </w:tblGrid>
      <w:tr w:rsidR="003213F2" w14:paraId="33AEAE13" w14:textId="77777777">
        <w:trPr>
          <w:divId w:val="2085252859"/>
          <w:cantSplit/>
          <w:jc w:val="center"/>
        </w:trPr>
        <w:tc>
          <w:tcPr>
            <w:tcW w:w="385" w:type="pct"/>
            <w:tcMar>
              <w:top w:w="0" w:type="dxa"/>
              <w:left w:w="108" w:type="dxa"/>
              <w:bottom w:w="0" w:type="dxa"/>
              <w:right w:w="108" w:type="dxa"/>
            </w:tcMar>
            <w:vAlign w:val="center"/>
            <w:hideMark/>
          </w:tcPr>
          <w:p w14:paraId="4E15CC26"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3545B9B4" w14:textId="77777777" w:rsidR="003213F2" w:rsidRDefault="009C165D">
            <w:pPr>
              <w:pStyle w:val="NormalWeb"/>
              <w:spacing w:before="0" w:beforeAutospacing="0" w:after="0" w:afterAutospacing="0"/>
              <w:jc w:val="center"/>
            </w:pPr>
            <w:r>
              <w:rPr>
                <w:noProof/>
              </w:rPr>
              <w:drawing>
                <wp:inline distT="0" distB="0" distL="0" distR="0" wp14:anchorId="57695C85" wp14:editId="12C6CA72">
                  <wp:extent cx="5715000" cy="3209925"/>
                  <wp:effectExtent l="0" t="0" r="0" b="9525"/>
                  <wp:docPr id="17" name="Picture 17"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PH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4EF1F772" w14:textId="77777777" w:rsidR="003213F2" w:rsidRDefault="009C165D">
            <w:pPr>
              <w:pStyle w:val="NormalWeb"/>
              <w:spacing w:before="0" w:beforeAutospacing="0" w:after="0" w:afterAutospacing="0"/>
            </w:pPr>
            <w:r>
              <w:rPr>
                <w:rFonts w:ascii="Arial" w:hAnsi="Arial" w:cs="Arial"/>
                <w:color w:val="FFFFFF"/>
                <w:sz w:val="2"/>
                <w:szCs w:val="2"/>
              </w:rPr>
              <w:t xml:space="preserve">June 22, 2026 8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(APG777) Extended Half-life Anti-IL13 Antibody Being Developed as a Monotherapy or Combination Therapy in Dermatology, Respiratory and Other Immune-Mediated Diseases • Across a robust, reproducible two-part Ph2 study,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demonstrated strong lesion and itch control that improved over time • Delivered numerically higher absolute response rates and placebo-adjusted efficacy across key endpoints compared to currently marketed AD biologics • Well tolerated with a safety profile similar to </w:t>
            </w:r>
            <w:r>
              <w:rPr>
                <w:rFonts w:ascii="Arial" w:hAnsi="Arial" w:cs="Arial"/>
                <w:color w:val="FFFFFF"/>
                <w:sz w:val="2"/>
                <w:szCs w:val="2"/>
              </w:rPr>
              <w:t xml:space="preserve">other biologics • Ph3 AD trials expected to begin 2H 2026; Potential approval early 2030 • Expansion potential in dermatology and respiratory indications as a monotherapy and coformulation Potential for Best-in-Category Efficacy in AD • Sustained efficacy with every 3-month and 6-month dosing intervals out to a year of follow up • Extended half-life enables 4 dosing days for induction and 2-4 dosing days per year for maintenance • Expected to require ~½ the number of injection days compared to </w:t>
            </w:r>
            <w:proofErr w:type="spellStart"/>
            <w:r>
              <w:rPr>
                <w:rFonts w:ascii="Arial" w:hAnsi="Arial" w:cs="Arial"/>
                <w:color w:val="FFFFFF"/>
                <w:sz w:val="2"/>
                <w:szCs w:val="2"/>
              </w:rPr>
              <w:t>Ebglyss</w:t>
            </w:r>
            <w:proofErr w:type="spellEnd"/>
            <w:r>
              <w:rPr>
                <w:rFonts w:ascii="Arial" w:hAnsi="Arial" w:cs="Arial"/>
                <w:color w:val="FFFFFF"/>
                <w:sz w:val="2"/>
                <w:szCs w:val="2"/>
              </w:rPr>
              <w:t xml:space="preserve"> and ~</w:t>
            </w:r>
            <w:r>
              <w:rPr>
                <w:rFonts w:ascii="Arial" w:hAnsi="Arial" w:cs="Arial"/>
                <w:color w:val="FFFFFF"/>
                <w:sz w:val="2"/>
                <w:szCs w:val="2"/>
              </w:rPr>
              <w:t>¼ the number of injection days compared to Dupixent in first year of treatment • Market research supports Q12W-Q24W dosing as a meaningful market value driver in atopic dermatitis, supporting potential for strong share capture Potential for Substantially Lower Injection Burden • Monotherapy: Eosinophilic Esophagitis (EoE), Chronic Pruritus of Unknown Origin (CPUO), Chronic Spontaneous Urticaria (CSU), Prurigo Nodularis (PN) • Combination Therapy: Asthma, Chronic Obstructive Pulmonary Disease (COPD), Chronic</w:t>
            </w:r>
            <w:r>
              <w:rPr>
                <w:rFonts w:ascii="Arial" w:hAnsi="Arial" w:cs="Arial"/>
                <w:color w:val="FFFFFF"/>
                <w:sz w:val="2"/>
                <w:szCs w:val="2"/>
              </w:rPr>
              <w:t xml:space="preserve"> Rhinosinusitis with Nasal Polyps (</w:t>
            </w:r>
            <w:proofErr w:type="spellStart"/>
            <w:r>
              <w:rPr>
                <w:rFonts w:ascii="Arial" w:hAnsi="Arial" w:cs="Arial"/>
                <w:color w:val="FFFFFF"/>
                <w:sz w:val="2"/>
                <w:szCs w:val="2"/>
              </w:rPr>
              <w:t>CRSwNP</w:t>
            </w:r>
            <w:proofErr w:type="spellEnd"/>
            <w:r>
              <w:rPr>
                <w:rFonts w:ascii="Arial" w:hAnsi="Arial" w:cs="Arial"/>
                <w:color w:val="FFFFFF"/>
                <w:sz w:val="2"/>
                <w:szCs w:val="2"/>
              </w:rPr>
              <w:t xml:space="preserve">) • Indications planned for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mono or combo therapies represents collective addressable market of ~$40 billion today1 Potential Indication Expansion to Inflammatory Conditions Where IL13 Plays a Critical Role 1Evaluate Pharma</w:t>
            </w:r>
          </w:p>
        </w:tc>
      </w:tr>
    </w:tbl>
    <w:p w14:paraId="4F58EAB0" w14:textId="77777777" w:rsidR="003213F2" w:rsidRDefault="009C165D">
      <w:pPr>
        <w:pStyle w:val="NormalWeb"/>
        <w:pageBreakBefore/>
        <w:spacing w:before="0" w:beforeAutospacing="0" w:after="0" w:afterAutospacing="0"/>
        <w:jc w:val="center"/>
        <w:divId w:val="175000483"/>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799"/>
        <w:gridCol w:w="339"/>
      </w:tblGrid>
      <w:tr w:rsidR="003213F2" w14:paraId="20A4A369" w14:textId="77777777">
        <w:trPr>
          <w:divId w:val="2085252859"/>
          <w:cantSplit/>
          <w:jc w:val="center"/>
        </w:trPr>
        <w:tc>
          <w:tcPr>
            <w:tcW w:w="385" w:type="pct"/>
            <w:tcMar>
              <w:top w:w="0" w:type="dxa"/>
              <w:left w:w="108" w:type="dxa"/>
              <w:bottom w:w="0" w:type="dxa"/>
              <w:right w:w="108" w:type="dxa"/>
            </w:tcMar>
            <w:vAlign w:val="center"/>
            <w:hideMark/>
          </w:tcPr>
          <w:p w14:paraId="21304F56"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55605136" w14:textId="77777777" w:rsidR="003213F2" w:rsidRDefault="009C165D">
            <w:pPr>
              <w:pStyle w:val="NormalWeb"/>
              <w:spacing w:before="0" w:beforeAutospacing="0" w:after="0" w:afterAutospacing="0"/>
              <w:jc w:val="center"/>
            </w:pPr>
            <w:r>
              <w:rPr>
                <w:noProof/>
              </w:rPr>
              <w:drawing>
                <wp:inline distT="0" distB="0" distL="0" distR="0" wp14:anchorId="6610C902" wp14:editId="6F511FB9">
                  <wp:extent cx="5715000" cy="3209925"/>
                  <wp:effectExtent l="0" t="0" r="0" b="9525"/>
                  <wp:docPr id="18" name="Picture 18"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APHI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B185C95" w14:textId="77777777" w:rsidR="003213F2" w:rsidRDefault="009C165D">
            <w:pPr>
              <w:pStyle w:val="NormalWeb"/>
              <w:spacing w:before="0" w:beforeAutospacing="0" w:after="0" w:afterAutospacing="0"/>
            </w:pPr>
            <w:r>
              <w:rPr>
                <w:rFonts w:ascii="Arial" w:hAnsi="Arial" w:cs="Arial"/>
                <w:color w:val="FFFFFF"/>
                <w:sz w:val="2"/>
                <w:szCs w:val="2"/>
              </w:rPr>
              <w:t xml:space="preserve">June 22, 2026 9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(APG777) Atopic Dermatitis Phase 2 APEX Part B Numerically Higher Absolute Response Rates and Placebo-Adjusted Efficacy Across Key Endpoints Compared to Currently Marketed AD Biologics 23% 17% 14% 30% 43% 38% 34% 14% </w:t>
            </w:r>
            <w:proofErr w:type="spellStart"/>
            <w:r>
              <w:rPr>
                <w:rFonts w:ascii="Arial" w:hAnsi="Arial" w:cs="Arial"/>
                <w:color w:val="FFFFFF"/>
                <w:sz w:val="2"/>
                <w:szCs w:val="2"/>
              </w:rPr>
              <w:t>Zumi</w:t>
            </w:r>
            <w:proofErr w:type="spellEnd"/>
            <w:r>
              <w:rPr>
                <w:rFonts w:ascii="Arial" w:hAnsi="Arial" w:cs="Arial"/>
                <w:color w:val="FFFFFF"/>
                <w:sz w:val="2"/>
                <w:szCs w:val="2"/>
              </w:rPr>
              <w:t xml:space="preserve"> </w:t>
            </w:r>
            <w:proofErr w:type="spellStart"/>
            <w:r>
              <w:rPr>
                <w:rFonts w:ascii="Arial" w:hAnsi="Arial" w:cs="Arial"/>
                <w:color w:val="FFFFFF"/>
                <w:sz w:val="2"/>
                <w:szCs w:val="2"/>
              </w:rPr>
              <w:t>Ebglyss</w:t>
            </w:r>
            <w:proofErr w:type="spellEnd"/>
            <w:r>
              <w:rPr>
                <w:rFonts w:ascii="Arial" w:hAnsi="Arial" w:cs="Arial"/>
                <w:color w:val="FFFFFF"/>
                <w:sz w:val="2"/>
                <w:szCs w:val="2"/>
              </w:rPr>
              <w:t xml:space="preserve"> Dupixent </w:t>
            </w:r>
            <w:proofErr w:type="spellStart"/>
            <w:r>
              <w:rPr>
                <w:rFonts w:ascii="Arial" w:hAnsi="Arial" w:cs="Arial"/>
                <w:color w:val="FFFFFF"/>
                <w:sz w:val="2"/>
                <w:szCs w:val="2"/>
              </w:rPr>
              <w:t>Nemluvio</w:t>
            </w:r>
            <w:proofErr w:type="spellEnd"/>
            <w:r>
              <w:rPr>
                <w:rFonts w:ascii="Arial" w:hAnsi="Arial" w:cs="Arial"/>
                <w:color w:val="FFFFFF"/>
                <w:sz w:val="2"/>
                <w:szCs w:val="2"/>
              </w:rPr>
              <w:t xml:space="preserve"> EASI 75 Responders at 16 Weeks X% X% PBO-adjusted PBO response X% Treatment response 9% 9% 8% 18% 38% 26% 27% 8% </w:t>
            </w:r>
            <w:proofErr w:type="spellStart"/>
            <w:r>
              <w:rPr>
                <w:rFonts w:ascii="Arial" w:hAnsi="Arial" w:cs="Arial"/>
                <w:color w:val="FFFFFF"/>
                <w:sz w:val="2"/>
                <w:szCs w:val="2"/>
              </w:rPr>
              <w:t>Zumi</w:t>
            </w:r>
            <w:proofErr w:type="spellEnd"/>
            <w:r>
              <w:rPr>
                <w:rFonts w:ascii="Arial" w:hAnsi="Arial" w:cs="Arial"/>
                <w:color w:val="FFFFFF"/>
                <w:sz w:val="2"/>
                <w:szCs w:val="2"/>
              </w:rPr>
              <w:t xml:space="preserve"> </w:t>
            </w:r>
            <w:proofErr w:type="spellStart"/>
            <w:r>
              <w:rPr>
                <w:rFonts w:ascii="Arial" w:hAnsi="Arial" w:cs="Arial"/>
                <w:color w:val="FFFFFF"/>
                <w:sz w:val="2"/>
                <w:szCs w:val="2"/>
              </w:rPr>
              <w:t>Ebglyss</w:t>
            </w:r>
            <w:proofErr w:type="spellEnd"/>
            <w:r>
              <w:rPr>
                <w:rFonts w:ascii="Arial" w:hAnsi="Arial" w:cs="Arial"/>
                <w:color w:val="FFFFFF"/>
                <w:sz w:val="2"/>
                <w:szCs w:val="2"/>
              </w:rPr>
              <w:t xml:space="preserve"> Dupixent </w:t>
            </w:r>
            <w:proofErr w:type="spellStart"/>
            <w:r>
              <w:rPr>
                <w:rFonts w:ascii="Arial" w:hAnsi="Arial" w:cs="Arial"/>
                <w:color w:val="FFFFFF"/>
                <w:sz w:val="2"/>
                <w:szCs w:val="2"/>
              </w:rPr>
              <w:t>Nemluvio</w:t>
            </w:r>
            <w:proofErr w:type="spellEnd"/>
            <w:r>
              <w:rPr>
                <w:rFonts w:ascii="Arial" w:hAnsi="Arial" w:cs="Arial"/>
                <w:color w:val="FFFFFF"/>
                <w:sz w:val="2"/>
                <w:szCs w:val="2"/>
              </w:rPr>
              <w:t xml:space="preserve"> EASI 90 Responders at 16 Weeks 66% 55% 48% 44% 14% 12% 11% 18% 37% 30% 28% 24% </w:t>
            </w:r>
            <w:proofErr w:type="spellStart"/>
            <w:r>
              <w:rPr>
                <w:rFonts w:ascii="Arial" w:hAnsi="Arial" w:cs="Arial"/>
                <w:color w:val="FFFFFF"/>
                <w:sz w:val="2"/>
                <w:szCs w:val="2"/>
              </w:rPr>
              <w:t>Zumi</w:t>
            </w:r>
            <w:proofErr w:type="spellEnd"/>
            <w:r>
              <w:rPr>
                <w:rFonts w:ascii="Arial" w:hAnsi="Arial" w:cs="Arial"/>
                <w:color w:val="FFFFFF"/>
                <w:sz w:val="2"/>
                <w:szCs w:val="2"/>
              </w:rPr>
              <w:t xml:space="preserve"> </w:t>
            </w:r>
            <w:proofErr w:type="spellStart"/>
            <w:r>
              <w:rPr>
                <w:rFonts w:ascii="Arial" w:hAnsi="Arial" w:cs="Arial"/>
                <w:color w:val="FFFFFF"/>
                <w:sz w:val="2"/>
                <w:szCs w:val="2"/>
              </w:rPr>
              <w:t>Ebglyss</w:t>
            </w:r>
            <w:proofErr w:type="spellEnd"/>
            <w:r>
              <w:rPr>
                <w:rFonts w:ascii="Arial" w:hAnsi="Arial" w:cs="Arial"/>
                <w:color w:val="FFFFFF"/>
                <w:sz w:val="2"/>
                <w:szCs w:val="2"/>
              </w:rPr>
              <w:t xml:space="preserve"> Dupixent </w:t>
            </w:r>
            <w:proofErr w:type="spellStart"/>
            <w:r>
              <w:rPr>
                <w:rFonts w:ascii="Arial" w:hAnsi="Arial" w:cs="Arial"/>
                <w:color w:val="FFFFFF"/>
                <w:sz w:val="2"/>
                <w:szCs w:val="2"/>
              </w:rPr>
              <w:t>Nemluv</w:t>
            </w:r>
            <w:r>
              <w:rPr>
                <w:rFonts w:ascii="Arial" w:hAnsi="Arial" w:cs="Arial"/>
                <w:color w:val="FFFFFF"/>
                <w:sz w:val="2"/>
                <w:szCs w:val="2"/>
              </w:rPr>
              <w:t>io</w:t>
            </w:r>
            <w:proofErr w:type="spellEnd"/>
            <w:r>
              <w:rPr>
                <w:rFonts w:ascii="Arial" w:hAnsi="Arial" w:cs="Arial"/>
                <w:color w:val="FFFFFF"/>
                <w:sz w:val="2"/>
                <w:szCs w:val="2"/>
              </w:rPr>
              <w:t xml:space="preserve"> I-NRS ≥4 Reduction from Baseline at 16 Weeks 47% 35% 35% 26% 51% 42% 39% 42% +TCS +TCS +TCS EASI 75: Eczema Area and Severity Index (EASI) percent score reduction of at least 75, EASI 90: Eczema Area and Severity Index (EASI) percent score reduction of at least 90, I-NRS ≥4: proportion of participants achieving a ≥4 point improvement from baseline in weekly mean of the daily itch numeric rating scale. Note: The data presented above are not from a head-to-head study. Efficacy data are derived from differe</w:t>
            </w:r>
            <w:r>
              <w:rPr>
                <w:rFonts w:ascii="Arial" w:hAnsi="Arial" w:cs="Arial"/>
                <w:color w:val="FFFFFF"/>
                <w:sz w:val="2"/>
                <w:szCs w:val="2"/>
              </w:rPr>
              <w:t xml:space="preserve">nt clinical trials conducted at different times, with differences in trial design and patient populations. As a result, cross-trial comparisons cannot be made, and no head-to-head clinical trials have been conducted. The data were derived from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mid dose from Phase 2 APEX Part B study (dose selected for Phase 3 program), lebrikizumab Phase 3 Advocate 1 &amp; 2 studies, dupilumab Phase 3 SOLO 1 &amp; 2 studies, </w:t>
            </w:r>
            <w:proofErr w:type="spellStart"/>
            <w:r>
              <w:rPr>
                <w:rFonts w:ascii="Arial" w:hAnsi="Arial" w:cs="Arial"/>
                <w:color w:val="FFFFFF"/>
                <w:sz w:val="2"/>
                <w:szCs w:val="2"/>
              </w:rPr>
              <w:t>nemolizumab</w:t>
            </w:r>
            <w:proofErr w:type="spellEnd"/>
            <w:r>
              <w:rPr>
                <w:rFonts w:ascii="Arial" w:hAnsi="Arial" w:cs="Arial"/>
                <w:color w:val="FFFFFF"/>
                <w:sz w:val="2"/>
                <w:szCs w:val="2"/>
              </w:rPr>
              <w:t xml:space="preserve"> plus topical corticosteroids (TCS) Phase 3 ARCADIA 1 &amp; 2 studies.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has </w:t>
            </w:r>
            <w:r>
              <w:rPr>
                <w:rFonts w:ascii="Arial" w:hAnsi="Arial" w:cs="Arial"/>
                <w:color w:val="FFFFFF"/>
                <w:sz w:val="2"/>
                <w:szCs w:val="2"/>
              </w:rPr>
              <w:t>not been approved in AD and its safety and efficacy in this indication has not been evaluated by regulatory agencies.</w:t>
            </w:r>
          </w:p>
        </w:tc>
      </w:tr>
    </w:tbl>
    <w:p w14:paraId="671DC08B" w14:textId="77777777" w:rsidR="003213F2" w:rsidRDefault="009C165D">
      <w:pPr>
        <w:pStyle w:val="NormalWeb"/>
        <w:pageBreakBefore/>
        <w:spacing w:before="0" w:beforeAutospacing="0" w:after="0" w:afterAutospacing="0"/>
        <w:jc w:val="center"/>
        <w:divId w:val="790199455"/>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1"/>
        <w:gridCol w:w="8811"/>
        <w:gridCol w:w="328"/>
      </w:tblGrid>
      <w:tr w:rsidR="003213F2" w14:paraId="3E59450D" w14:textId="77777777">
        <w:trPr>
          <w:divId w:val="2085252859"/>
          <w:cantSplit/>
          <w:jc w:val="center"/>
        </w:trPr>
        <w:tc>
          <w:tcPr>
            <w:tcW w:w="385" w:type="pct"/>
            <w:tcMar>
              <w:top w:w="0" w:type="dxa"/>
              <w:left w:w="108" w:type="dxa"/>
              <w:bottom w:w="0" w:type="dxa"/>
              <w:right w:w="108" w:type="dxa"/>
            </w:tcMar>
            <w:vAlign w:val="center"/>
            <w:hideMark/>
          </w:tcPr>
          <w:p w14:paraId="7B7086AF"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26EBE0E3" w14:textId="77777777" w:rsidR="003213F2" w:rsidRDefault="009C165D">
            <w:pPr>
              <w:pStyle w:val="NormalWeb"/>
              <w:spacing w:before="0" w:beforeAutospacing="0" w:after="0" w:afterAutospacing="0"/>
              <w:jc w:val="center"/>
            </w:pPr>
            <w:r>
              <w:rPr>
                <w:noProof/>
              </w:rPr>
              <w:drawing>
                <wp:inline distT="0" distB="0" distL="0" distR="0" wp14:anchorId="61C131BE" wp14:editId="163AFD46">
                  <wp:extent cx="5715000" cy="3209925"/>
                  <wp:effectExtent l="0" t="0" r="0" b="9525"/>
                  <wp:docPr id="19" name="Picture 19"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PHI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421F1AF0" w14:textId="77777777" w:rsidR="003213F2" w:rsidRDefault="009C165D">
            <w:pPr>
              <w:pStyle w:val="NormalWeb"/>
              <w:spacing w:before="0" w:beforeAutospacing="0" w:after="0" w:afterAutospacing="0"/>
            </w:pPr>
            <w:r>
              <w:rPr>
                <w:rFonts w:ascii="Arial" w:hAnsi="Arial" w:cs="Arial"/>
                <w:color w:val="FFFFFF"/>
                <w:sz w:val="2"/>
                <w:szCs w:val="2"/>
              </w:rPr>
              <w:t xml:space="preserve">June 22, 2026 10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(APG777) Atopic Dermatitis Phase 2 APEX Part A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360mg Q24W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360mg Q12W Continuous Improvement Across All Endpoints Through Week 52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360mg Q24W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360mg Q12W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16-Week Induction Durable Maintenance of Responses with Both Q12W and Q24W Dosing Source: Apogee Corporate Presentation All subjects who were initially randomized to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induction were assessed through 52 weeks. Phase 3 monotherapy studies will evaluate exposure-matched mai</w:t>
            </w:r>
            <w:r>
              <w:rPr>
                <w:rFonts w:ascii="Arial" w:hAnsi="Arial" w:cs="Arial"/>
                <w:color w:val="FFFFFF"/>
                <w:sz w:val="2"/>
                <w:szCs w:val="2"/>
              </w:rPr>
              <w:t>ntenance dosing regimens of 360mg Q12W and 720mg Q24W Source: Apogee Corporate Presentation Subjects who achieved a response at week 16 were assessed for maintenance of response through week 52. Phase 3 monotherapy studies will evaluate exposure-matched maintenance dosing regimens of 360mg Q12W and 720mg Q24W.</w:t>
            </w:r>
          </w:p>
        </w:tc>
      </w:tr>
    </w:tbl>
    <w:p w14:paraId="01BAD1BA" w14:textId="77777777" w:rsidR="003213F2" w:rsidRDefault="009C165D">
      <w:pPr>
        <w:pStyle w:val="NormalWeb"/>
        <w:pageBreakBefore/>
        <w:spacing w:before="0" w:beforeAutospacing="0" w:after="0" w:afterAutospacing="0"/>
        <w:jc w:val="center"/>
        <w:divId w:val="1972468810"/>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797"/>
        <w:gridCol w:w="341"/>
      </w:tblGrid>
      <w:tr w:rsidR="003213F2" w14:paraId="1F35AD42" w14:textId="77777777">
        <w:trPr>
          <w:divId w:val="2085252859"/>
          <w:cantSplit/>
          <w:jc w:val="center"/>
        </w:trPr>
        <w:tc>
          <w:tcPr>
            <w:tcW w:w="385" w:type="pct"/>
            <w:tcMar>
              <w:top w:w="0" w:type="dxa"/>
              <w:left w:w="108" w:type="dxa"/>
              <w:bottom w:w="0" w:type="dxa"/>
              <w:right w:w="108" w:type="dxa"/>
            </w:tcMar>
            <w:vAlign w:val="center"/>
            <w:hideMark/>
          </w:tcPr>
          <w:p w14:paraId="770C836A"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361A7837" w14:textId="77777777" w:rsidR="003213F2" w:rsidRDefault="009C165D">
            <w:pPr>
              <w:pStyle w:val="NormalWeb"/>
              <w:spacing w:before="0" w:beforeAutospacing="0" w:after="0" w:afterAutospacing="0"/>
              <w:jc w:val="center"/>
            </w:pPr>
            <w:r>
              <w:rPr>
                <w:noProof/>
              </w:rPr>
              <w:drawing>
                <wp:inline distT="0" distB="0" distL="0" distR="0" wp14:anchorId="0C6730E4" wp14:editId="70132870">
                  <wp:extent cx="5715000" cy="3209925"/>
                  <wp:effectExtent l="0" t="0" r="0" b="9525"/>
                  <wp:docPr id="20" name="Picture 20"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APHI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3082A661" w14:textId="77777777" w:rsidR="003213F2" w:rsidRDefault="009C165D">
            <w:pPr>
              <w:pStyle w:val="NormalWeb"/>
              <w:spacing w:before="0" w:beforeAutospacing="0" w:after="0" w:afterAutospacing="0"/>
            </w:pPr>
            <w:r>
              <w:rPr>
                <w:rFonts w:ascii="Arial" w:hAnsi="Arial" w:cs="Arial"/>
                <w:color w:val="FFFFFF"/>
                <w:sz w:val="2"/>
                <w:szCs w:val="2"/>
              </w:rPr>
              <w:t xml:space="preserve">June 22, 2026 11 Asthma Represents a Large and Underserved Market Opportunity to Grow Market with Commercial Investment and Innovation Significant Opportunity in Asthma Market Treatment Options for Type 2 Low Asthma Elevated Efficacy in Type 2 High Asthma Improved Adherence • Ongoing exacerbations, steroid dependence, and symptom breakthroughs despite current biologics • Need for more reliable exacerbation reduction, and more meaningful improvements in lung function and quality of life • Sizable population </w:t>
            </w:r>
            <w:r>
              <w:rPr>
                <w:rFonts w:ascii="Arial" w:hAnsi="Arial" w:cs="Arial"/>
                <w:color w:val="FFFFFF"/>
                <w:sz w:val="2"/>
                <w:szCs w:val="2"/>
              </w:rPr>
              <w:t>(10% - 40%) of Type 2 Low patients, for whom current biologics offer limited efficacy • Demand exists for novel, broader phenotype-agnostic treatments • Current leading biologics dosed Q2W – Q8W • Strong need for longer-interval dosing (Q12W+) to reduce treatment burden and improve patient compliance ~7 million severe, uncontrolled patients ~9% penetration rate for advanced therapies in global severe market ~$18 billion global asthma market growing more than 15% annually High Unmet Need for Novel Treatments</w:t>
            </w:r>
            <w:r>
              <w:rPr>
                <w:rFonts w:ascii="Arial" w:hAnsi="Arial" w:cs="Arial"/>
                <w:color w:val="FFFFFF"/>
                <w:sz w:val="2"/>
                <w:szCs w:val="2"/>
              </w:rPr>
              <w:t xml:space="preserve"> Source: Evaluate Pharma, AbbVie internal estimates, PMID: 32586877 </w:t>
            </w:r>
          </w:p>
        </w:tc>
      </w:tr>
    </w:tbl>
    <w:p w14:paraId="69448488" w14:textId="77777777" w:rsidR="003213F2" w:rsidRDefault="009C165D">
      <w:pPr>
        <w:pStyle w:val="NormalWeb"/>
        <w:pageBreakBefore/>
        <w:spacing w:before="0" w:beforeAutospacing="0" w:after="0" w:afterAutospacing="0"/>
        <w:jc w:val="center"/>
        <w:divId w:val="828132550"/>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1"/>
        <w:gridCol w:w="8779"/>
        <w:gridCol w:w="360"/>
      </w:tblGrid>
      <w:tr w:rsidR="003213F2" w14:paraId="3354404B" w14:textId="77777777">
        <w:trPr>
          <w:divId w:val="2085252859"/>
          <w:cantSplit/>
          <w:jc w:val="center"/>
        </w:trPr>
        <w:tc>
          <w:tcPr>
            <w:tcW w:w="385" w:type="pct"/>
            <w:tcMar>
              <w:top w:w="0" w:type="dxa"/>
              <w:left w:w="108" w:type="dxa"/>
              <w:bottom w:w="0" w:type="dxa"/>
              <w:right w:w="108" w:type="dxa"/>
            </w:tcMar>
            <w:vAlign w:val="center"/>
            <w:hideMark/>
          </w:tcPr>
          <w:p w14:paraId="049D4128"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1FD956A7" w14:textId="77777777" w:rsidR="003213F2" w:rsidRDefault="009C165D">
            <w:pPr>
              <w:pStyle w:val="NormalWeb"/>
              <w:spacing w:before="0" w:beforeAutospacing="0" w:after="0" w:afterAutospacing="0"/>
              <w:jc w:val="center"/>
            </w:pPr>
            <w:r>
              <w:rPr>
                <w:noProof/>
              </w:rPr>
              <w:drawing>
                <wp:inline distT="0" distB="0" distL="0" distR="0" wp14:anchorId="2D14862A" wp14:editId="2A0351DE">
                  <wp:extent cx="5715000" cy="3209925"/>
                  <wp:effectExtent l="0" t="0" r="0" b="9525"/>
                  <wp:docPr id="21" name="Picture 21"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I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FDE0434" w14:textId="77777777" w:rsidR="003213F2" w:rsidRDefault="009C165D">
            <w:pPr>
              <w:pStyle w:val="NormalWeb"/>
              <w:spacing w:before="0" w:beforeAutospacing="0" w:after="0" w:afterAutospacing="0"/>
            </w:pPr>
            <w:r>
              <w:rPr>
                <w:rFonts w:ascii="Arial" w:hAnsi="Arial" w:cs="Arial"/>
                <w:color w:val="FFFFFF"/>
                <w:sz w:val="2"/>
                <w:szCs w:val="2"/>
              </w:rPr>
              <w:t>June 22, 2026 12 APG273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 APG333) Dual IL13 / TSLP Inhibition Could Provide Transformational Efficacy for Type 2 High and Low Asthma Patients with Significantly Improved Q12W Dosing • Dual blockage of two clinically validated asthma disease pathways (IL13 / TSLP) has potential for enhanced efficacy •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demonstrated durable </w:t>
            </w:r>
            <w:proofErr w:type="spellStart"/>
            <w:r>
              <w:rPr>
                <w:rFonts w:ascii="Arial" w:hAnsi="Arial" w:cs="Arial"/>
                <w:color w:val="FFFFFF"/>
                <w:sz w:val="2"/>
                <w:szCs w:val="2"/>
              </w:rPr>
              <w:t>FeNO</w:t>
            </w:r>
            <w:proofErr w:type="spellEnd"/>
            <w:r>
              <w:rPr>
                <w:rFonts w:ascii="Arial" w:hAnsi="Arial" w:cs="Arial"/>
                <w:color w:val="FFFFFF"/>
                <w:sz w:val="2"/>
                <w:szCs w:val="2"/>
              </w:rPr>
              <w:t xml:space="preserve"> suppression and FEV1 improvement in Ph1b asthma study • APG333 demonstrated </w:t>
            </w:r>
            <w:proofErr w:type="spellStart"/>
            <w:r>
              <w:rPr>
                <w:rFonts w:ascii="Arial" w:hAnsi="Arial" w:cs="Arial"/>
                <w:color w:val="FFFFFF"/>
                <w:sz w:val="2"/>
                <w:szCs w:val="2"/>
              </w:rPr>
              <w:t>tezepelumab</w:t>
            </w:r>
            <w:proofErr w:type="spellEnd"/>
            <w:r>
              <w:rPr>
                <w:rFonts w:ascii="Arial" w:hAnsi="Arial" w:cs="Arial"/>
                <w:color w:val="FFFFFF"/>
                <w:sz w:val="2"/>
                <w:szCs w:val="2"/>
              </w:rPr>
              <w:t xml:space="preserve">-like inhibition of T2 biomarkers in Ph1 healthy volunteers • Preclinical data show </w:t>
            </w:r>
            <w:proofErr w:type="spellStart"/>
            <w:r>
              <w:rPr>
                <w:rFonts w:ascii="Arial" w:hAnsi="Arial" w:cs="Arial"/>
                <w:color w:val="FFFFFF"/>
                <w:sz w:val="2"/>
                <w:szCs w:val="2"/>
              </w:rPr>
              <w:t>zumilokibar</w:t>
            </w:r>
            <w:r>
              <w:rPr>
                <w:rFonts w:ascii="Arial" w:hAnsi="Arial" w:cs="Arial"/>
                <w:color w:val="FFFFFF"/>
                <w:sz w:val="2"/>
                <w:szCs w:val="2"/>
              </w:rPr>
              <w:t>t</w:t>
            </w:r>
            <w:proofErr w:type="spellEnd"/>
            <w:r>
              <w:rPr>
                <w:rFonts w:ascii="Arial" w:hAnsi="Arial" w:cs="Arial"/>
                <w:color w:val="FFFFFF"/>
                <w:sz w:val="2"/>
                <w:szCs w:val="2"/>
              </w:rPr>
              <w:t xml:space="preserve"> + APG333 combination has a broader effect on both central and local drivers of obstructive airway disease compared to </w:t>
            </w:r>
            <w:proofErr w:type="spellStart"/>
            <w:r>
              <w:rPr>
                <w:rFonts w:ascii="Arial" w:hAnsi="Arial" w:cs="Arial"/>
                <w:color w:val="FFFFFF"/>
                <w:sz w:val="2"/>
                <w:szCs w:val="2"/>
              </w:rPr>
              <w:t>tezepelumab</w:t>
            </w:r>
            <w:proofErr w:type="spellEnd"/>
            <w:r>
              <w:rPr>
                <w:rFonts w:ascii="Arial" w:hAnsi="Arial" w:cs="Arial"/>
                <w:color w:val="FFFFFF"/>
                <w:sz w:val="2"/>
                <w:szCs w:val="2"/>
              </w:rPr>
              <w:t xml:space="preserve">, dupilumab and lebrikizumab Strong Rationale for IL13 / TSLP Combination in Asthma Source: Apogee Corporate Presentation. Note: Data not from head-to-head clinical studies, see Apogee presentation for full disclaimer. </w:t>
            </w:r>
            <w:proofErr w:type="spellStart"/>
            <w:r>
              <w:rPr>
                <w:rFonts w:ascii="Arial" w:hAnsi="Arial" w:cs="Arial"/>
                <w:color w:val="FFFFFF"/>
                <w:sz w:val="2"/>
                <w:szCs w:val="2"/>
              </w:rPr>
              <w:t>FeNO</w:t>
            </w:r>
            <w:proofErr w:type="spellEnd"/>
            <w:r>
              <w:rPr>
                <w:rFonts w:ascii="Arial" w:hAnsi="Arial" w:cs="Arial"/>
                <w:color w:val="FFFFFF"/>
                <w:sz w:val="2"/>
                <w:szCs w:val="2"/>
              </w:rPr>
              <w:t xml:space="preserve">: fractional exhaled nitric oxide, FEV1: forced expiratory volume in 1 second.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Phase 1b Asthma Data Single Dose Demonstrated Durable </w:t>
            </w:r>
            <w:proofErr w:type="spellStart"/>
            <w:r>
              <w:rPr>
                <w:rFonts w:ascii="Arial" w:hAnsi="Arial" w:cs="Arial"/>
                <w:color w:val="FFFFFF"/>
                <w:sz w:val="2"/>
                <w:szCs w:val="2"/>
              </w:rPr>
              <w:t>FeNO</w:t>
            </w:r>
            <w:proofErr w:type="spellEnd"/>
            <w:r>
              <w:rPr>
                <w:rFonts w:ascii="Arial" w:hAnsi="Arial" w:cs="Arial"/>
                <w:color w:val="FFFFFF"/>
                <w:sz w:val="2"/>
                <w:szCs w:val="2"/>
              </w:rPr>
              <w:t xml:space="preserve"> Suppres</w:t>
            </w:r>
            <w:r>
              <w:rPr>
                <w:rFonts w:ascii="Arial" w:hAnsi="Arial" w:cs="Arial"/>
                <w:color w:val="FFFFFF"/>
                <w:sz w:val="2"/>
                <w:szCs w:val="2"/>
              </w:rPr>
              <w:t xml:space="preserve">sion Through 32-Weeks / Achieved Competitive </w:t>
            </w:r>
            <w:proofErr w:type="spellStart"/>
            <w:r>
              <w:rPr>
                <w:rFonts w:ascii="Arial" w:hAnsi="Arial" w:cs="Arial"/>
                <w:color w:val="FFFFFF"/>
                <w:sz w:val="2"/>
                <w:szCs w:val="2"/>
              </w:rPr>
              <w:t>FeNO</w:t>
            </w:r>
            <w:proofErr w:type="spellEnd"/>
            <w:r>
              <w:rPr>
                <w:rFonts w:ascii="Arial" w:hAnsi="Arial" w:cs="Arial"/>
                <w:color w:val="FFFFFF"/>
                <w:sz w:val="2"/>
                <w:szCs w:val="2"/>
              </w:rPr>
              <w:t xml:space="preserve"> Reduction</w:t>
            </w:r>
          </w:p>
        </w:tc>
      </w:tr>
    </w:tbl>
    <w:p w14:paraId="42334B66" w14:textId="77777777" w:rsidR="003213F2" w:rsidRDefault="009C165D">
      <w:pPr>
        <w:pStyle w:val="NormalWeb"/>
        <w:pageBreakBefore/>
        <w:spacing w:before="0" w:beforeAutospacing="0" w:after="0" w:afterAutospacing="0"/>
        <w:jc w:val="center"/>
        <w:divId w:val="586883479"/>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801"/>
        <w:gridCol w:w="337"/>
      </w:tblGrid>
      <w:tr w:rsidR="003213F2" w14:paraId="48050418" w14:textId="77777777">
        <w:trPr>
          <w:divId w:val="2085252859"/>
          <w:cantSplit/>
          <w:jc w:val="center"/>
        </w:trPr>
        <w:tc>
          <w:tcPr>
            <w:tcW w:w="385" w:type="pct"/>
            <w:tcMar>
              <w:top w:w="0" w:type="dxa"/>
              <w:left w:w="108" w:type="dxa"/>
              <w:bottom w:w="0" w:type="dxa"/>
              <w:right w:w="108" w:type="dxa"/>
            </w:tcMar>
            <w:vAlign w:val="center"/>
            <w:hideMark/>
          </w:tcPr>
          <w:p w14:paraId="44E04CD7"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6BF0A434" w14:textId="77777777" w:rsidR="003213F2" w:rsidRDefault="009C165D">
            <w:pPr>
              <w:pStyle w:val="NormalWeb"/>
              <w:spacing w:before="0" w:beforeAutospacing="0" w:after="0" w:afterAutospacing="0"/>
              <w:jc w:val="center"/>
            </w:pPr>
            <w:r>
              <w:rPr>
                <w:noProof/>
              </w:rPr>
              <w:drawing>
                <wp:inline distT="0" distB="0" distL="0" distR="0" wp14:anchorId="49BFEF1B" wp14:editId="5C686AD1">
                  <wp:extent cx="5715000" cy="3209925"/>
                  <wp:effectExtent l="0" t="0" r="0" b="9525"/>
                  <wp:docPr id="22" name="Picture 2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APHI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09D83F67" w14:textId="77777777" w:rsidR="003213F2" w:rsidRDefault="009C165D">
            <w:pPr>
              <w:pStyle w:val="NormalWeb"/>
              <w:spacing w:before="0" w:beforeAutospacing="0" w:after="0" w:afterAutospacing="0"/>
            </w:pPr>
            <w:r>
              <w:rPr>
                <w:rFonts w:ascii="Arial" w:hAnsi="Arial" w:cs="Arial"/>
                <w:color w:val="FFFFFF"/>
                <w:sz w:val="2"/>
                <w:szCs w:val="2"/>
              </w:rPr>
              <w:t>June 22, 2026 13 Transaction and Financial Overview • AbbVie has agreed to acquire all outstanding shares of Apogee for a purchase price of $135.11 per share in an all-cash transaction • Premium of approximately 49% to the closing price on June 18, 2026 • Purchase price of $10.9B; Implied transaction value of approximately $10.1B net of estimated cash and marketable securities acquired1 • Will fund the transaction with debt PURCHASE PRICE • Apogee’s pipeline assets represent mega-blockbuster collective peak</w:t>
            </w:r>
            <w:r>
              <w:rPr>
                <w:rFonts w:ascii="Arial" w:hAnsi="Arial" w:cs="Arial"/>
                <w:color w:val="FFFFFF"/>
                <w:sz w:val="2"/>
                <w:szCs w:val="2"/>
              </w:rPr>
              <w:t xml:space="preserve"> sales potential • </w:t>
            </w:r>
            <w:proofErr w:type="spellStart"/>
            <w:r>
              <w:rPr>
                <w:rFonts w:ascii="Arial" w:hAnsi="Arial" w:cs="Arial"/>
                <w:color w:val="FFFFFF"/>
                <w:sz w:val="2"/>
                <w:szCs w:val="2"/>
              </w:rPr>
              <w:t>Zumilokibart</w:t>
            </w:r>
            <w:proofErr w:type="spellEnd"/>
            <w:r>
              <w:rPr>
                <w:rFonts w:ascii="Arial" w:hAnsi="Arial" w:cs="Arial"/>
                <w:color w:val="FFFFFF"/>
                <w:sz w:val="2"/>
                <w:szCs w:val="2"/>
              </w:rPr>
              <w:t xml:space="preserve"> in atopic dermatitis represents most substantial component of the deal value • Modest value ascribed to APG273 given early stage of development DEAL VALUE CAPITAL ALLOCATION PRIORITIES FINANCIAL IMPACT • Closing expected third quarter of 2026, subject to Apogee shareholder approval, regulatory approvals and other customary closing conditions • Expected to negatively impact adjusted diluted EPS by approximately $0.14 in 2026 (partial year) and approximately $0.46 in 2027 • Exp</w:t>
            </w:r>
            <w:r>
              <w:rPr>
                <w:rFonts w:ascii="Arial" w:hAnsi="Arial" w:cs="Arial"/>
                <w:color w:val="FFFFFF"/>
                <w:sz w:val="2"/>
                <w:szCs w:val="2"/>
              </w:rPr>
              <w:t>ect adjusted diluted earnings per share accretion beginning in 2032 and significantly ramping over the long term • No change to AbbVie’s capital allocation priorities • Remain committed to a strong and growing dividend; continue to have financial flexibility for additional business development • Expect to maintain A2/A- credit rating; Committed to achieving net leverage ratio of 2x within 2-3 years of deal closing 1Net cash and marketable securities position acquired includes impact of the buy-back option f</w:t>
            </w:r>
            <w:r>
              <w:rPr>
                <w:rFonts w:ascii="Arial" w:hAnsi="Arial" w:cs="Arial"/>
                <w:color w:val="FFFFFF"/>
                <w:sz w:val="2"/>
                <w:szCs w:val="2"/>
              </w:rPr>
              <w:t xml:space="preserve">or change of control under the Apogee revenue share agreement with Blackstone Life Sciences to reduce a significant portion of the expected future royalty obligation for </w:t>
            </w:r>
            <w:proofErr w:type="spellStart"/>
            <w:r>
              <w:rPr>
                <w:rFonts w:ascii="Arial" w:hAnsi="Arial" w:cs="Arial"/>
                <w:color w:val="FFFFFF"/>
                <w:sz w:val="2"/>
                <w:szCs w:val="2"/>
              </w:rPr>
              <w:t>zumilokibart</w:t>
            </w:r>
            <w:proofErr w:type="spellEnd"/>
            <w:r>
              <w:rPr>
                <w:rFonts w:ascii="Arial" w:hAnsi="Arial" w:cs="Arial"/>
                <w:color w:val="FFFFFF"/>
                <w:sz w:val="2"/>
                <w:szCs w:val="2"/>
              </w:rPr>
              <w:t>.</w:t>
            </w:r>
          </w:p>
        </w:tc>
      </w:tr>
    </w:tbl>
    <w:p w14:paraId="037AF6F9" w14:textId="77777777" w:rsidR="003213F2" w:rsidRDefault="009C165D">
      <w:pPr>
        <w:pStyle w:val="NormalWeb"/>
        <w:pageBreakBefore/>
        <w:spacing w:before="0" w:beforeAutospacing="0" w:after="0" w:afterAutospacing="0"/>
        <w:jc w:val="center"/>
        <w:divId w:val="175537112"/>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804"/>
        <w:gridCol w:w="334"/>
      </w:tblGrid>
      <w:tr w:rsidR="003213F2" w14:paraId="17665055" w14:textId="77777777">
        <w:trPr>
          <w:divId w:val="2085252859"/>
          <w:cantSplit/>
          <w:jc w:val="center"/>
        </w:trPr>
        <w:tc>
          <w:tcPr>
            <w:tcW w:w="385" w:type="pct"/>
            <w:tcMar>
              <w:top w:w="0" w:type="dxa"/>
              <w:left w:w="108" w:type="dxa"/>
              <w:bottom w:w="0" w:type="dxa"/>
              <w:right w:w="108" w:type="dxa"/>
            </w:tcMar>
            <w:vAlign w:val="center"/>
            <w:hideMark/>
          </w:tcPr>
          <w:p w14:paraId="1F61514D"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7378BC34" w14:textId="77777777" w:rsidR="003213F2" w:rsidRDefault="009C165D">
            <w:pPr>
              <w:pStyle w:val="NormalWeb"/>
              <w:spacing w:before="0" w:beforeAutospacing="0" w:after="0" w:afterAutospacing="0"/>
              <w:jc w:val="center"/>
            </w:pPr>
            <w:r>
              <w:rPr>
                <w:noProof/>
              </w:rPr>
              <w:drawing>
                <wp:inline distT="0" distB="0" distL="0" distR="0" wp14:anchorId="5E38CC4E" wp14:editId="2CD6C478">
                  <wp:extent cx="5715000" cy="3209925"/>
                  <wp:effectExtent l="0" t="0" r="0" b="9525"/>
                  <wp:docPr id="23" name="Picture 23"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PHI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79D910CC" w14:textId="77777777" w:rsidR="003213F2" w:rsidRDefault="009C165D">
            <w:pPr>
              <w:pStyle w:val="NormalWeb"/>
              <w:spacing w:before="0" w:beforeAutospacing="0" w:after="0" w:afterAutospacing="0"/>
            </w:pPr>
            <w:r>
              <w:rPr>
                <w:rFonts w:ascii="Arial" w:hAnsi="Arial" w:cs="Arial"/>
                <w:color w:val="FFFFFF"/>
                <w:sz w:val="2"/>
                <w:szCs w:val="2"/>
              </w:rPr>
              <w:t xml:space="preserve">June 22, 2026 14 Key Takeaways A strong strategic fit for AbbVie that represents an attractive opportunity to acquire a pipeline of potentially differentiated assets focused on treating inflammatory conditions • Complements AbbVie’s Immunology pipeline by adding a portfolio of long-acting, high-efficacy assets targeting dermatology, respiratory and other immune-mediated diseases • Provides AbbVie with a late-stage atopic dermatitis asset, </w:t>
            </w:r>
            <w:proofErr w:type="spellStart"/>
            <w:r>
              <w:rPr>
                <w:rFonts w:ascii="Arial" w:hAnsi="Arial" w:cs="Arial"/>
                <w:color w:val="FFFFFF"/>
                <w:sz w:val="2"/>
                <w:szCs w:val="2"/>
              </w:rPr>
              <w:t>zumilokibart</w:t>
            </w:r>
            <w:proofErr w:type="spellEnd"/>
            <w:r>
              <w:rPr>
                <w:rFonts w:ascii="Arial" w:hAnsi="Arial" w:cs="Arial"/>
                <w:color w:val="FFFFFF"/>
                <w:sz w:val="2"/>
                <w:szCs w:val="2"/>
              </w:rPr>
              <w:t>, that has the potential to provide best-in-category efficacy, safety comparable to approved biologics and significantly more convenient Q12W – Q24W dosing • Enables AbbVie to enter large and underserved respiratory markets, such as asthma and COPD Potential to create substantial shareholder value • Apogee’s pipeline assets represent mega-blockbuster collective peak sales potential • Assets represent potential new sources of growth to support AbbVie’s performance in the 2030’s and beyond • AbbVi</w:t>
            </w:r>
            <w:r>
              <w:rPr>
                <w:rFonts w:ascii="Arial" w:hAnsi="Arial" w:cs="Arial"/>
                <w:color w:val="FFFFFF"/>
                <w:sz w:val="2"/>
                <w:szCs w:val="2"/>
              </w:rPr>
              <w:t>e will leverage its regulatory and clinical expertise, commercial capabilities, and international infrastructure in Immunology to maximize Apogee’s high-value assets</w:t>
            </w:r>
          </w:p>
        </w:tc>
      </w:tr>
    </w:tbl>
    <w:p w14:paraId="4B2487D9" w14:textId="77777777" w:rsidR="003213F2" w:rsidRDefault="009C165D">
      <w:pPr>
        <w:pStyle w:val="NormalWeb"/>
        <w:pageBreakBefore/>
        <w:spacing w:before="0" w:beforeAutospacing="0" w:after="0" w:afterAutospacing="0"/>
        <w:jc w:val="center"/>
        <w:divId w:val="261033524"/>
        <w:rPr>
          <w:rFonts w:ascii="Arial" w:hAnsi="Arial" w:cs="Arial"/>
          <w:sz w:val="20"/>
          <w:szCs w:val="20"/>
        </w:rPr>
      </w:pPr>
      <w:r>
        <w:rPr>
          <w:rFonts w:ascii="Arial" w:hAnsi="Arial" w:cs="Arial"/>
          <w:sz w:val="20"/>
          <w:szCs w:val="20"/>
        </w:rPr>
        <w:lastRenderedPageBreak/>
        <w:t> </w:t>
      </w:r>
    </w:p>
    <w:tbl>
      <w:tblPr>
        <w:tblW w:w="5000" w:type="pct"/>
        <w:jc w:val="center"/>
        <w:tblCellMar>
          <w:left w:w="0" w:type="dxa"/>
          <w:right w:w="0" w:type="dxa"/>
        </w:tblCellMar>
        <w:tblLook w:val="04A0" w:firstRow="1" w:lastRow="0" w:firstColumn="1" w:lastColumn="0" w:noHBand="0" w:noVBand="1"/>
      </w:tblPr>
      <w:tblGrid>
        <w:gridCol w:w="222"/>
        <w:gridCol w:w="8916"/>
        <w:gridCol w:w="222"/>
      </w:tblGrid>
      <w:tr w:rsidR="003213F2" w14:paraId="0079D6E5" w14:textId="77777777">
        <w:trPr>
          <w:divId w:val="2085252859"/>
          <w:cantSplit/>
          <w:jc w:val="center"/>
        </w:trPr>
        <w:tc>
          <w:tcPr>
            <w:tcW w:w="385" w:type="pct"/>
            <w:tcMar>
              <w:top w:w="0" w:type="dxa"/>
              <w:left w:w="108" w:type="dxa"/>
              <w:bottom w:w="0" w:type="dxa"/>
              <w:right w:w="108" w:type="dxa"/>
            </w:tcMar>
            <w:vAlign w:val="center"/>
            <w:hideMark/>
          </w:tcPr>
          <w:p w14:paraId="537C67CC" w14:textId="77777777" w:rsidR="003213F2" w:rsidRDefault="003213F2">
            <w:pPr>
              <w:rPr>
                <w:rFonts w:ascii="Arial" w:hAnsi="Arial" w:cs="Arial"/>
                <w:sz w:val="20"/>
                <w:szCs w:val="20"/>
              </w:rPr>
            </w:pPr>
          </w:p>
        </w:tc>
        <w:tc>
          <w:tcPr>
            <w:tcW w:w="4615" w:type="pct"/>
            <w:tcMar>
              <w:top w:w="0" w:type="dxa"/>
              <w:left w:w="108" w:type="dxa"/>
              <w:bottom w:w="0" w:type="dxa"/>
              <w:right w:w="108" w:type="dxa"/>
            </w:tcMar>
            <w:hideMark/>
          </w:tcPr>
          <w:p w14:paraId="66A6E063" w14:textId="77777777" w:rsidR="003213F2" w:rsidRDefault="009C165D">
            <w:pPr>
              <w:pStyle w:val="NormalWeb"/>
              <w:spacing w:before="0" w:beforeAutospacing="0" w:after="0" w:afterAutospacing="0"/>
              <w:jc w:val="center"/>
            </w:pPr>
            <w:r>
              <w:rPr>
                <w:noProof/>
              </w:rPr>
              <w:drawing>
                <wp:inline distT="0" distB="0" distL="0" distR="0" wp14:anchorId="343AE332" wp14:editId="463C02B0">
                  <wp:extent cx="5715000" cy="3209925"/>
                  <wp:effectExtent l="0" t="0" r="0" b="9525"/>
                  <wp:docPr id="24" name="Picture 24"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APHI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2AFB29A8" w14:textId="77777777" w:rsidR="003213F2" w:rsidRDefault="003213F2"/>
        </w:tc>
      </w:tr>
    </w:tbl>
    <w:p w14:paraId="5D35BFE5" w14:textId="77777777" w:rsidR="003213F2" w:rsidRDefault="009C165D">
      <w:pPr>
        <w:pStyle w:val="NormalWeb"/>
        <w:pageBreakBefore/>
        <w:spacing w:before="0" w:beforeAutospacing="0" w:after="0" w:afterAutospacing="0"/>
        <w:jc w:val="center"/>
        <w:divId w:val="1371809207"/>
        <w:rPr>
          <w:rFonts w:ascii="Arial" w:hAnsi="Arial" w:cs="Arial"/>
          <w:sz w:val="20"/>
          <w:szCs w:val="20"/>
        </w:rPr>
      </w:pPr>
      <w:r>
        <w:rPr>
          <w:rFonts w:ascii="Arial" w:hAnsi="Arial" w:cs="Arial"/>
          <w:sz w:val="20"/>
          <w:szCs w:val="20"/>
        </w:rPr>
        <w:lastRenderedPageBreak/>
        <w:t> </w:t>
      </w:r>
    </w:p>
    <w:sectPr w:rsidR="003213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oNotTrackMoves/>
  <w:doNotTrackFormatting/>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3F2"/>
    <w:rsid w:val="002B6776"/>
    <w:rsid w:val="003213F2"/>
    <w:rsid w:val="004B6EB0"/>
    <w:rsid w:val="009C1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10481"/>
  <w15:chartTrackingRefBased/>
  <w15:docId w15:val="{BEA28311-F6EE-49F5-8A51-06C9878B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679">
      <w:marLeft w:val="0"/>
      <w:marRight w:val="0"/>
      <w:marTop w:val="120"/>
      <w:marBottom w:val="240"/>
      <w:divBdr>
        <w:top w:val="none" w:sz="0" w:space="0" w:color="auto"/>
        <w:left w:val="none" w:sz="0" w:space="0" w:color="auto"/>
        <w:bottom w:val="none" w:sz="0" w:space="0" w:color="auto"/>
        <w:right w:val="none" w:sz="0" w:space="0" w:color="auto"/>
      </w:divBdr>
    </w:div>
    <w:div w:id="107504777">
      <w:marLeft w:val="0"/>
      <w:marRight w:val="0"/>
      <w:marTop w:val="120"/>
      <w:marBottom w:val="240"/>
      <w:divBdr>
        <w:top w:val="none" w:sz="0" w:space="0" w:color="auto"/>
        <w:left w:val="none" w:sz="0" w:space="0" w:color="auto"/>
        <w:bottom w:val="none" w:sz="0" w:space="0" w:color="auto"/>
        <w:right w:val="none" w:sz="0" w:space="0" w:color="auto"/>
      </w:divBdr>
    </w:div>
    <w:div w:id="205607970">
      <w:marLeft w:val="0"/>
      <w:marRight w:val="0"/>
      <w:marTop w:val="240"/>
      <w:marBottom w:val="120"/>
      <w:divBdr>
        <w:top w:val="none" w:sz="0" w:space="0" w:color="auto"/>
        <w:left w:val="none" w:sz="0" w:space="0" w:color="auto"/>
        <w:bottom w:val="single" w:sz="8" w:space="0" w:color="000000"/>
        <w:right w:val="none" w:sz="0" w:space="0" w:color="auto"/>
      </w:divBdr>
    </w:div>
    <w:div w:id="246037650">
      <w:marLeft w:val="0"/>
      <w:marRight w:val="0"/>
      <w:marTop w:val="120"/>
      <w:marBottom w:val="240"/>
      <w:divBdr>
        <w:top w:val="none" w:sz="0" w:space="0" w:color="auto"/>
        <w:left w:val="none" w:sz="0" w:space="0" w:color="auto"/>
        <w:bottom w:val="none" w:sz="0" w:space="0" w:color="auto"/>
        <w:right w:val="none" w:sz="0" w:space="0" w:color="auto"/>
      </w:divBdr>
    </w:div>
    <w:div w:id="257564765">
      <w:marLeft w:val="0"/>
      <w:marRight w:val="0"/>
      <w:marTop w:val="240"/>
      <w:marBottom w:val="120"/>
      <w:divBdr>
        <w:top w:val="none" w:sz="0" w:space="0" w:color="auto"/>
        <w:left w:val="none" w:sz="0" w:space="0" w:color="auto"/>
        <w:bottom w:val="single" w:sz="8" w:space="0" w:color="000000"/>
        <w:right w:val="none" w:sz="0" w:space="0" w:color="auto"/>
      </w:divBdr>
    </w:div>
    <w:div w:id="332345078">
      <w:marLeft w:val="0"/>
      <w:marRight w:val="0"/>
      <w:marTop w:val="120"/>
      <w:marBottom w:val="240"/>
      <w:divBdr>
        <w:top w:val="none" w:sz="0" w:space="0" w:color="auto"/>
        <w:left w:val="none" w:sz="0" w:space="0" w:color="auto"/>
        <w:bottom w:val="none" w:sz="0" w:space="0" w:color="auto"/>
        <w:right w:val="none" w:sz="0" w:space="0" w:color="auto"/>
      </w:divBdr>
    </w:div>
    <w:div w:id="391780510">
      <w:marLeft w:val="0"/>
      <w:marRight w:val="0"/>
      <w:marTop w:val="120"/>
      <w:marBottom w:val="240"/>
      <w:divBdr>
        <w:top w:val="none" w:sz="0" w:space="0" w:color="auto"/>
        <w:left w:val="none" w:sz="0" w:space="0" w:color="auto"/>
        <w:bottom w:val="none" w:sz="0" w:space="0" w:color="auto"/>
        <w:right w:val="none" w:sz="0" w:space="0" w:color="auto"/>
      </w:divBdr>
    </w:div>
    <w:div w:id="393819567">
      <w:marLeft w:val="0"/>
      <w:marRight w:val="0"/>
      <w:marTop w:val="120"/>
      <w:marBottom w:val="240"/>
      <w:divBdr>
        <w:top w:val="none" w:sz="0" w:space="0" w:color="auto"/>
        <w:left w:val="none" w:sz="0" w:space="0" w:color="auto"/>
        <w:bottom w:val="none" w:sz="0" w:space="0" w:color="auto"/>
        <w:right w:val="none" w:sz="0" w:space="0" w:color="auto"/>
      </w:divBdr>
    </w:div>
    <w:div w:id="446898913">
      <w:marLeft w:val="0"/>
      <w:marRight w:val="0"/>
      <w:marTop w:val="240"/>
      <w:marBottom w:val="120"/>
      <w:divBdr>
        <w:top w:val="none" w:sz="0" w:space="0" w:color="auto"/>
        <w:left w:val="none" w:sz="0" w:space="0" w:color="auto"/>
        <w:bottom w:val="single" w:sz="8" w:space="0" w:color="000000"/>
        <w:right w:val="none" w:sz="0" w:space="0" w:color="auto"/>
      </w:divBdr>
    </w:div>
    <w:div w:id="592278171">
      <w:marLeft w:val="0"/>
      <w:marRight w:val="0"/>
      <w:marTop w:val="240"/>
      <w:marBottom w:val="120"/>
      <w:divBdr>
        <w:top w:val="none" w:sz="0" w:space="0" w:color="auto"/>
        <w:left w:val="none" w:sz="0" w:space="0" w:color="auto"/>
        <w:bottom w:val="single" w:sz="8" w:space="0" w:color="000000"/>
        <w:right w:val="none" w:sz="0" w:space="0" w:color="auto"/>
      </w:divBdr>
    </w:div>
    <w:div w:id="625432900">
      <w:marLeft w:val="0"/>
      <w:marRight w:val="0"/>
      <w:marTop w:val="120"/>
      <w:marBottom w:val="240"/>
      <w:divBdr>
        <w:top w:val="none" w:sz="0" w:space="0" w:color="auto"/>
        <w:left w:val="none" w:sz="0" w:space="0" w:color="auto"/>
        <w:bottom w:val="none" w:sz="0" w:space="0" w:color="auto"/>
        <w:right w:val="none" w:sz="0" w:space="0" w:color="auto"/>
      </w:divBdr>
    </w:div>
    <w:div w:id="743911979">
      <w:marLeft w:val="0"/>
      <w:marRight w:val="0"/>
      <w:marTop w:val="240"/>
      <w:marBottom w:val="120"/>
      <w:divBdr>
        <w:top w:val="none" w:sz="0" w:space="0" w:color="auto"/>
        <w:left w:val="none" w:sz="0" w:space="0" w:color="auto"/>
        <w:bottom w:val="single" w:sz="8" w:space="0" w:color="000000"/>
        <w:right w:val="none" w:sz="0" w:space="0" w:color="auto"/>
      </w:divBdr>
    </w:div>
    <w:div w:id="782456076">
      <w:marLeft w:val="0"/>
      <w:marRight w:val="0"/>
      <w:marTop w:val="240"/>
      <w:marBottom w:val="120"/>
      <w:divBdr>
        <w:top w:val="none" w:sz="0" w:space="0" w:color="auto"/>
        <w:left w:val="none" w:sz="0" w:space="0" w:color="auto"/>
        <w:bottom w:val="single" w:sz="8" w:space="0" w:color="000000"/>
        <w:right w:val="none" w:sz="0" w:space="0" w:color="auto"/>
      </w:divBdr>
    </w:div>
    <w:div w:id="834222354">
      <w:marLeft w:val="0"/>
      <w:marRight w:val="0"/>
      <w:marTop w:val="240"/>
      <w:marBottom w:val="120"/>
      <w:divBdr>
        <w:top w:val="none" w:sz="0" w:space="0" w:color="auto"/>
        <w:left w:val="none" w:sz="0" w:space="0" w:color="auto"/>
        <w:bottom w:val="single" w:sz="8" w:space="0" w:color="000000"/>
        <w:right w:val="none" w:sz="0" w:space="0" w:color="auto"/>
      </w:divBdr>
    </w:div>
    <w:div w:id="844201331">
      <w:marLeft w:val="0"/>
      <w:marRight w:val="0"/>
      <w:marTop w:val="0"/>
      <w:marBottom w:val="0"/>
      <w:divBdr>
        <w:top w:val="none" w:sz="0" w:space="0" w:color="auto"/>
        <w:left w:val="none" w:sz="0" w:space="0" w:color="auto"/>
        <w:bottom w:val="none" w:sz="0" w:space="0" w:color="auto"/>
        <w:right w:val="none" w:sz="0" w:space="0" w:color="auto"/>
      </w:divBdr>
    </w:div>
    <w:div w:id="872038436">
      <w:marLeft w:val="0"/>
      <w:marRight w:val="0"/>
      <w:marTop w:val="120"/>
      <w:marBottom w:val="240"/>
      <w:divBdr>
        <w:top w:val="none" w:sz="0" w:space="0" w:color="auto"/>
        <w:left w:val="none" w:sz="0" w:space="0" w:color="auto"/>
        <w:bottom w:val="none" w:sz="0" w:space="0" w:color="auto"/>
        <w:right w:val="none" w:sz="0" w:space="0" w:color="auto"/>
      </w:divBdr>
    </w:div>
    <w:div w:id="1011955516">
      <w:marLeft w:val="0"/>
      <w:marRight w:val="0"/>
      <w:marTop w:val="240"/>
      <w:marBottom w:val="120"/>
      <w:divBdr>
        <w:top w:val="none" w:sz="0" w:space="0" w:color="auto"/>
        <w:left w:val="none" w:sz="0" w:space="0" w:color="auto"/>
        <w:bottom w:val="single" w:sz="8" w:space="0" w:color="000000"/>
        <w:right w:val="none" w:sz="0" w:space="0" w:color="auto"/>
      </w:divBdr>
    </w:div>
    <w:div w:id="1029601181">
      <w:marLeft w:val="0"/>
      <w:marRight w:val="0"/>
      <w:marTop w:val="0"/>
      <w:marBottom w:val="0"/>
      <w:divBdr>
        <w:top w:val="none" w:sz="0" w:space="0" w:color="auto"/>
        <w:left w:val="none" w:sz="0" w:space="0" w:color="auto"/>
        <w:bottom w:val="none" w:sz="0" w:space="0" w:color="auto"/>
        <w:right w:val="none" w:sz="0" w:space="0" w:color="auto"/>
      </w:divBdr>
      <w:divsChild>
        <w:div w:id="899243727">
          <w:marLeft w:val="0"/>
          <w:marRight w:val="0"/>
          <w:marTop w:val="0"/>
          <w:marBottom w:val="0"/>
          <w:divBdr>
            <w:top w:val="single" w:sz="8" w:space="0" w:color="000000"/>
            <w:left w:val="none" w:sz="0" w:space="0" w:color="auto"/>
            <w:bottom w:val="single" w:sz="18" w:space="0" w:color="000000"/>
            <w:right w:val="none" w:sz="0" w:space="0" w:color="auto"/>
          </w:divBdr>
        </w:div>
      </w:divsChild>
    </w:div>
    <w:div w:id="1275819982">
      <w:marLeft w:val="0"/>
      <w:marRight w:val="0"/>
      <w:marTop w:val="120"/>
      <w:marBottom w:val="240"/>
      <w:divBdr>
        <w:top w:val="none" w:sz="0" w:space="0" w:color="auto"/>
        <w:left w:val="none" w:sz="0" w:space="0" w:color="auto"/>
        <w:bottom w:val="none" w:sz="0" w:space="0" w:color="auto"/>
        <w:right w:val="none" w:sz="0" w:space="0" w:color="auto"/>
      </w:divBdr>
    </w:div>
    <w:div w:id="1369642086">
      <w:marLeft w:val="0"/>
      <w:marRight w:val="0"/>
      <w:marTop w:val="120"/>
      <w:marBottom w:val="240"/>
      <w:divBdr>
        <w:top w:val="none" w:sz="0" w:space="0" w:color="auto"/>
        <w:left w:val="none" w:sz="0" w:space="0" w:color="auto"/>
        <w:bottom w:val="none" w:sz="0" w:space="0" w:color="auto"/>
        <w:right w:val="none" w:sz="0" w:space="0" w:color="auto"/>
      </w:divBdr>
    </w:div>
    <w:div w:id="1417627705">
      <w:marLeft w:val="0"/>
      <w:marRight w:val="0"/>
      <w:marTop w:val="240"/>
      <w:marBottom w:val="120"/>
      <w:divBdr>
        <w:top w:val="none" w:sz="0" w:space="0" w:color="auto"/>
        <w:left w:val="none" w:sz="0" w:space="0" w:color="auto"/>
        <w:bottom w:val="single" w:sz="8" w:space="0" w:color="000000"/>
        <w:right w:val="none" w:sz="0" w:space="0" w:color="auto"/>
      </w:divBdr>
    </w:div>
    <w:div w:id="1436753539">
      <w:marLeft w:val="0"/>
      <w:marRight w:val="0"/>
      <w:marTop w:val="120"/>
      <w:marBottom w:val="240"/>
      <w:divBdr>
        <w:top w:val="none" w:sz="0" w:space="0" w:color="auto"/>
        <w:left w:val="none" w:sz="0" w:space="0" w:color="auto"/>
        <w:bottom w:val="none" w:sz="0" w:space="0" w:color="auto"/>
        <w:right w:val="none" w:sz="0" w:space="0" w:color="auto"/>
      </w:divBdr>
    </w:div>
    <w:div w:id="1453328268">
      <w:marLeft w:val="0"/>
      <w:marRight w:val="0"/>
      <w:marTop w:val="0"/>
      <w:marBottom w:val="0"/>
      <w:divBdr>
        <w:top w:val="none" w:sz="0" w:space="0" w:color="auto"/>
        <w:left w:val="none" w:sz="0" w:space="0" w:color="auto"/>
        <w:bottom w:val="none" w:sz="0" w:space="0" w:color="auto"/>
        <w:right w:val="none" w:sz="0" w:space="0" w:color="auto"/>
      </w:divBdr>
      <w:divsChild>
        <w:div w:id="1577396946">
          <w:marLeft w:val="0"/>
          <w:marRight w:val="0"/>
          <w:marTop w:val="0"/>
          <w:marBottom w:val="0"/>
          <w:divBdr>
            <w:top w:val="single" w:sz="8" w:space="0" w:color="000000"/>
            <w:left w:val="none" w:sz="0" w:space="0" w:color="auto"/>
            <w:bottom w:val="none" w:sz="0" w:space="0" w:color="auto"/>
            <w:right w:val="none" w:sz="0" w:space="0" w:color="auto"/>
          </w:divBdr>
        </w:div>
      </w:divsChild>
    </w:div>
    <w:div w:id="1461344394">
      <w:marLeft w:val="0"/>
      <w:marRight w:val="0"/>
      <w:marTop w:val="0"/>
      <w:marBottom w:val="0"/>
      <w:divBdr>
        <w:top w:val="none" w:sz="0" w:space="0" w:color="auto"/>
        <w:left w:val="none" w:sz="0" w:space="0" w:color="auto"/>
        <w:bottom w:val="none" w:sz="0" w:space="0" w:color="auto"/>
        <w:right w:val="none" w:sz="0" w:space="0" w:color="auto"/>
      </w:divBdr>
      <w:divsChild>
        <w:div w:id="1820224655">
          <w:marLeft w:val="0"/>
          <w:marRight w:val="0"/>
          <w:marTop w:val="0"/>
          <w:marBottom w:val="0"/>
          <w:divBdr>
            <w:top w:val="single" w:sz="18" w:space="0" w:color="000000"/>
            <w:left w:val="none" w:sz="0" w:space="0" w:color="auto"/>
            <w:bottom w:val="single" w:sz="8" w:space="0" w:color="000000"/>
            <w:right w:val="none" w:sz="0" w:space="0" w:color="auto"/>
          </w:divBdr>
        </w:div>
      </w:divsChild>
    </w:div>
    <w:div w:id="1646008572">
      <w:marLeft w:val="0"/>
      <w:marRight w:val="0"/>
      <w:marTop w:val="240"/>
      <w:marBottom w:val="120"/>
      <w:divBdr>
        <w:top w:val="none" w:sz="0" w:space="0" w:color="auto"/>
        <w:left w:val="none" w:sz="0" w:space="0" w:color="auto"/>
        <w:bottom w:val="single" w:sz="8" w:space="0" w:color="000000"/>
        <w:right w:val="none" w:sz="0" w:space="0" w:color="auto"/>
      </w:divBdr>
    </w:div>
    <w:div w:id="1808009681">
      <w:marLeft w:val="0"/>
      <w:marRight w:val="0"/>
      <w:marTop w:val="240"/>
      <w:marBottom w:val="120"/>
      <w:divBdr>
        <w:top w:val="none" w:sz="0" w:space="0" w:color="auto"/>
        <w:left w:val="none" w:sz="0" w:space="0" w:color="auto"/>
        <w:bottom w:val="single" w:sz="8" w:space="0" w:color="000000"/>
        <w:right w:val="none" w:sz="0" w:space="0" w:color="auto"/>
      </w:divBdr>
    </w:div>
    <w:div w:id="1860897696">
      <w:marLeft w:val="0"/>
      <w:marRight w:val="0"/>
      <w:marTop w:val="240"/>
      <w:marBottom w:val="120"/>
      <w:divBdr>
        <w:top w:val="none" w:sz="0" w:space="0" w:color="auto"/>
        <w:left w:val="none" w:sz="0" w:space="0" w:color="auto"/>
        <w:bottom w:val="single" w:sz="8" w:space="0" w:color="000000"/>
        <w:right w:val="none" w:sz="0" w:space="0" w:color="auto"/>
      </w:divBdr>
    </w:div>
    <w:div w:id="2013951738">
      <w:marLeft w:val="0"/>
      <w:marRight w:val="0"/>
      <w:marTop w:val="0"/>
      <w:marBottom w:val="0"/>
      <w:divBdr>
        <w:top w:val="none" w:sz="0" w:space="0" w:color="auto"/>
        <w:left w:val="none" w:sz="0" w:space="0" w:color="auto"/>
        <w:bottom w:val="none" w:sz="0" w:space="0" w:color="auto"/>
        <w:right w:val="none" w:sz="0" w:space="0" w:color="auto"/>
      </w:divBdr>
    </w:div>
    <w:div w:id="2076049687">
      <w:marLeft w:val="0"/>
      <w:marRight w:val="0"/>
      <w:marTop w:val="0"/>
      <w:marBottom w:val="0"/>
      <w:divBdr>
        <w:top w:val="none" w:sz="0" w:space="0" w:color="auto"/>
        <w:left w:val="none" w:sz="0" w:space="0" w:color="auto"/>
        <w:bottom w:val="none" w:sz="0" w:space="0" w:color="auto"/>
        <w:right w:val="none" w:sz="0" w:space="0" w:color="auto"/>
      </w:divBdr>
    </w:div>
    <w:div w:id="2085252859">
      <w:marLeft w:val="0"/>
      <w:marRight w:val="0"/>
      <w:marTop w:val="0"/>
      <w:marBottom w:val="0"/>
      <w:divBdr>
        <w:top w:val="none" w:sz="0" w:space="0" w:color="auto"/>
        <w:left w:val="none" w:sz="0" w:space="0" w:color="auto"/>
        <w:bottom w:val="none" w:sz="0" w:space="0" w:color="auto"/>
        <w:right w:val="none" w:sz="0" w:space="0" w:color="auto"/>
      </w:divBdr>
      <w:divsChild>
        <w:div w:id="985277055">
          <w:marLeft w:val="0"/>
          <w:marRight w:val="0"/>
          <w:marTop w:val="0"/>
          <w:marBottom w:val="0"/>
          <w:divBdr>
            <w:top w:val="none" w:sz="0" w:space="0" w:color="auto"/>
            <w:left w:val="none" w:sz="0" w:space="0" w:color="auto"/>
            <w:bottom w:val="none" w:sz="0" w:space="0" w:color="auto"/>
            <w:right w:val="none" w:sz="0" w:space="0" w:color="auto"/>
          </w:divBdr>
        </w:div>
        <w:div w:id="1365667398">
          <w:marLeft w:val="0"/>
          <w:marRight w:val="0"/>
          <w:marTop w:val="0"/>
          <w:marBottom w:val="0"/>
          <w:divBdr>
            <w:top w:val="none" w:sz="0" w:space="0" w:color="auto"/>
            <w:left w:val="none" w:sz="0" w:space="0" w:color="auto"/>
            <w:bottom w:val="none" w:sz="0" w:space="0" w:color="auto"/>
            <w:right w:val="none" w:sz="0" w:space="0" w:color="auto"/>
          </w:divBdr>
        </w:div>
        <w:div w:id="1706446273">
          <w:marLeft w:val="0"/>
          <w:marRight w:val="0"/>
          <w:marTop w:val="0"/>
          <w:marBottom w:val="0"/>
          <w:divBdr>
            <w:top w:val="none" w:sz="0" w:space="0" w:color="auto"/>
            <w:left w:val="none" w:sz="0" w:space="0" w:color="auto"/>
            <w:bottom w:val="none" w:sz="0" w:space="0" w:color="auto"/>
            <w:right w:val="none" w:sz="0" w:space="0" w:color="auto"/>
          </w:divBdr>
        </w:div>
        <w:div w:id="945380223">
          <w:marLeft w:val="0"/>
          <w:marRight w:val="0"/>
          <w:marTop w:val="0"/>
          <w:marBottom w:val="0"/>
          <w:divBdr>
            <w:top w:val="none" w:sz="0" w:space="0" w:color="auto"/>
            <w:left w:val="none" w:sz="0" w:space="0" w:color="auto"/>
            <w:bottom w:val="none" w:sz="0" w:space="0" w:color="auto"/>
            <w:right w:val="none" w:sz="0" w:space="0" w:color="auto"/>
          </w:divBdr>
        </w:div>
        <w:div w:id="1138571876">
          <w:marLeft w:val="0"/>
          <w:marRight w:val="0"/>
          <w:marTop w:val="0"/>
          <w:marBottom w:val="0"/>
          <w:divBdr>
            <w:top w:val="none" w:sz="0" w:space="0" w:color="auto"/>
            <w:left w:val="none" w:sz="0" w:space="0" w:color="auto"/>
            <w:bottom w:val="none" w:sz="0" w:space="0" w:color="auto"/>
            <w:right w:val="none" w:sz="0" w:space="0" w:color="auto"/>
          </w:divBdr>
        </w:div>
        <w:div w:id="175000483">
          <w:marLeft w:val="0"/>
          <w:marRight w:val="0"/>
          <w:marTop w:val="0"/>
          <w:marBottom w:val="0"/>
          <w:divBdr>
            <w:top w:val="none" w:sz="0" w:space="0" w:color="auto"/>
            <w:left w:val="none" w:sz="0" w:space="0" w:color="auto"/>
            <w:bottom w:val="none" w:sz="0" w:space="0" w:color="auto"/>
            <w:right w:val="none" w:sz="0" w:space="0" w:color="auto"/>
          </w:divBdr>
        </w:div>
        <w:div w:id="790199455">
          <w:marLeft w:val="0"/>
          <w:marRight w:val="0"/>
          <w:marTop w:val="0"/>
          <w:marBottom w:val="0"/>
          <w:divBdr>
            <w:top w:val="none" w:sz="0" w:space="0" w:color="auto"/>
            <w:left w:val="none" w:sz="0" w:space="0" w:color="auto"/>
            <w:bottom w:val="none" w:sz="0" w:space="0" w:color="auto"/>
            <w:right w:val="none" w:sz="0" w:space="0" w:color="auto"/>
          </w:divBdr>
        </w:div>
        <w:div w:id="1972468810">
          <w:marLeft w:val="0"/>
          <w:marRight w:val="0"/>
          <w:marTop w:val="0"/>
          <w:marBottom w:val="0"/>
          <w:divBdr>
            <w:top w:val="none" w:sz="0" w:space="0" w:color="auto"/>
            <w:left w:val="none" w:sz="0" w:space="0" w:color="auto"/>
            <w:bottom w:val="none" w:sz="0" w:space="0" w:color="auto"/>
            <w:right w:val="none" w:sz="0" w:space="0" w:color="auto"/>
          </w:divBdr>
        </w:div>
        <w:div w:id="828132550">
          <w:marLeft w:val="0"/>
          <w:marRight w:val="0"/>
          <w:marTop w:val="0"/>
          <w:marBottom w:val="0"/>
          <w:divBdr>
            <w:top w:val="none" w:sz="0" w:space="0" w:color="auto"/>
            <w:left w:val="none" w:sz="0" w:space="0" w:color="auto"/>
            <w:bottom w:val="none" w:sz="0" w:space="0" w:color="auto"/>
            <w:right w:val="none" w:sz="0" w:space="0" w:color="auto"/>
          </w:divBdr>
        </w:div>
        <w:div w:id="586883479">
          <w:marLeft w:val="0"/>
          <w:marRight w:val="0"/>
          <w:marTop w:val="0"/>
          <w:marBottom w:val="0"/>
          <w:divBdr>
            <w:top w:val="none" w:sz="0" w:space="0" w:color="auto"/>
            <w:left w:val="none" w:sz="0" w:space="0" w:color="auto"/>
            <w:bottom w:val="none" w:sz="0" w:space="0" w:color="auto"/>
            <w:right w:val="none" w:sz="0" w:space="0" w:color="auto"/>
          </w:divBdr>
        </w:div>
        <w:div w:id="175537112">
          <w:marLeft w:val="0"/>
          <w:marRight w:val="0"/>
          <w:marTop w:val="0"/>
          <w:marBottom w:val="0"/>
          <w:divBdr>
            <w:top w:val="none" w:sz="0" w:space="0" w:color="auto"/>
            <w:left w:val="none" w:sz="0" w:space="0" w:color="auto"/>
            <w:bottom w:val="none" w:sz="0" w:space="0" w:color="auto"/>
            <w:right w:val="none" w:sz="0" w:space="0" w:color="auto"/>
          </w:divBdr>
        </w:div>
        <w:div w:id="261033524">
          <w:marLeft w:val="0"/>
          <w:marRight w:val="0"/>
          <w:marTop w:val="0"/>
          <w:marBottom w:val="0"/>
          <w:divBdr>
            <w:top w:val="none" w:sz="0" w:space="0" w:color="auto"/>
            <w:left w:val="none" w:sz="0" w:space="0" w:color="auto"/>
            <w:bottom w:val="none" w:sz="0" w:space="0" w:color="auto"/>
            <w:right w:val="none" w:sz="0" w:space="0" w:color="auto"/>
          </w:divBdr>
        </w:div>
        <w:div w:id="1371809207">
          <w:marLeft w:val="0"/>
          <w:marRight w:val="0"/>
          <w:marTop w:val="0"/>
          <w:marBottom w:val="0"/>
          <w:divBdr>
            <w:top w:val="none" w:sz="0" w:space="0" w:color="auto"/>
            <w:left w:val="none" w:sz="0" w:space="0" w:color="auto"/>
            <w:bottom w:val="none" w:sz="0" w:space="0" w:color="auto"/>
            <w:right w:val="none" w:sz="0" w:space="0" w:color="auto"/>
          </w:divBdr>
        </w:div>
      </w:divsChild>
    </w:div>
  </w:divs>
  <w:doNotRelyOnCSS/>
  <w:doNotOrganizeInFold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ec.gov/ix?doc=/Archives/edgar/data/1551152/000110465926059484/tm2614276d1_8k.htm" TargetMode="External"/><Relationship Id="rId18" Type="http://schemas.openxmlformats.org/officeDocument/2006/relationships/image" Target="media/image6.jpg"/><Relationship Id="rId26" Type="http://schemas.openxmlformats.org/officeDocument/2006/relationships/image" Target="media/image14.jpg"/><Relationship Id="rId3" Type="http://schemas.openxmlformats.org/officeDocument/2006/relationships/webSettings" Target="webSettings.xml"/><Relationship Id="rId21" Type="http://schemas.openxmlformats.org/officeDocument/2006/relationships/image" Target="media/image9.jpg"/><Relationship Id="rId7" Type="http://schemas.openxmlformats.org/officeDocument/2006/relationships/hyperlink" Target="file:///\\tm.toppanmerrill.com\chi4\ActiveJobs\tm2618365-1\tm2618365-1_8kseq1\captures\v003.01-2026-06-22-12-55-32-utc-109206-ClientDraft-D3.1\tm2618365d1_ex99-2.htm" TargetMode="External"/><Relationship Id="rId12" Type="http://schemas.openxmlformats.org/officeDocument/2006/relationships/hyperlink" Target="https://www.sec.gov/ix?doc=/Archives/edgar/data/1551152/000110465926033387/abbv-20260508xdef14a.htm" TargetMode="Externa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settings" Target="setting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tm.toppanmerrill.com\chi4\ActiveJobs\tm2618365-1\tm2618365-1_8kseq1\captures\v003.01-2026-06-22-12-55-32-utc-109206-ClientDraft-D3.1\tm2618365d1_ex99-2.htm" TargetMode="External"/><Relationship Id="rId11" Type="http://schemas.openxmlformats.org/officeDocument/2006/relationships/hyperlink" Target="https://www.sec.gov/ix?doc=/Archives/edgar/data/0001974640/000119312526269650/apge-20260609.htm" TargetMode="External"/><Relationship Id="rId24" Type="http://schemas.openxmlformats.org/officeDocument/2006/relationships/image" Target="media/image12.jpg"/><Relationship Id="rId5" Type="http://schemas.openxmlformats.org/officeDocument/2006/relationships/hyperlink" Target="file:///\\tm.toppanmerrill.com\chi4\ActiveJobs\tm2618365-1\tm2618365-1_8kseq1\captures\v003.01-2026-06-22-12-55-32-utc-109206-ClientDraft-D3.1\tm2618365d1_ex99-1.htm" TargetMode="Externa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image" Target="media/image16.jpg"/><Relationship Id="rId10" Type="http://schemas.openxmlformats.org/officeDocument/2006/relationships/hyperlink" Target="https://www.sec.gov/ix?doc=/Archives/edgar/data/1974640/000119312526177288/apge-20260421.htm" TargetMode="External"/><Relationship Id="rId19" Type="http://schemas.openxmlformats.org/officeDocument/2006/relationships/image" Target="media/image7.jpg"/><Relationship Id="rId4" Type="http://schemas.openxmlformats.org/officeDocument/2006/relationships/hyperlink" Target="file:///\\tm.toppanmerrill.com\chi4\ActiveJobs\tm2618365-1\tm2618365-1_8kseq1\captures\v003.01-2026-06-22-12-55-32-utc-109206-ClientDraft-D3.1\tm2618365d1_ex99-1.htm" TargetMode="External"/><Relationship Id="rId9" Type="http://schemas.openxmlformats.org/officeDocument/2006/relationships/hyperlink" Target="https://www.sec.gov/ix?doc=/Archives/edgar/data/1974640/000119312526177342/apge-20260424.htm"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8344</Words>
  <Characters>47566</Characters>
  <Application>Microsoft Office Word</Application>
  <DocSecurity>4</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Toppan Merrill</Company>
  <LinksUpToDate>false</LinksUpToDate>
  <CharactersWithSpaces>55799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Balasubramaniyan, Yamini Priya</dc:creator>
  <cp:keywords/>
  <dc:description/>
  <cp:lastModifiedBy>Wigfield, Jeff L</cp:lastModifiedBy>
  <cp:revision>2</cp:revision>
  <dcterms:created xsi:type="dcterms:W3CDTF">2026-06-22T13:05:00Z</dcterms:created>
  <dcterms:modified xsi:type="dcterms:W3CDTF">2026-06-22T13:05:00Z</dcterms:modified>
</cp:coreProperties>
</file>