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jc w:val="center"/>
        <w:spacing w:after="0" w:line="232" w:lineRule="auto"/>
        <w:rPr>
          <w:sz w:val="20"/>
          <w:szCs w:val="20"/>
          <w:color w:val="auto"/>
        </w:rPr>
      </w:pPr>
      <w:r>
        <w:rPr>
          <w:rFonts w:ascii="Calibri" w:cs="Calibri" w:eastAsia="Calibri" w:hAnsi="Calibri"/>
          <w:sz w:val="32"/>
          <w:szCs w:val="3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Washington, D.C. 20549</w:t>
      </w:r>
    </w:p>
    <w:p>
      <w:pPr>
        <w:ind w:left="3320"/>
        <w:spacing w:after="0" w:line="235" w:lineRule="auto"/>
        <w:rPr>
          <w:sz w:val="20"/>
          <w:szCs w:val="20"/>
          <w:color w:val="auto"/>
        </w:rPr>
      </w:pPr>
      <w:r>
        <w:rPr>
          <w:rFonts w:ascii="Calibri" w:cs="Calibri" w:eastAsia="Calibri" w:hAnsi="Calibri"/>
          <w:sz w:val="18"/>
          <w:szCs w:val="18"/>
          <w:color w:val="auto"/>
        </w:rPr>
        <w:t>_____________________________________________________</w:t>
      </w:r>
    </w:p>
    <w:p>
      <w:pPr>
        <w:jc w:val="center"/>
        <w:spacing w:after="0" w:line="229" w:lineRule="auto"/>
        <w:rPr>
          <w:sz w:val="20"/>
          <w:szCs w:val="20"/>
          <w:color w:val="auto"/>
        </w:rPr>
      </w:pPr>
      <w:r>
        <w:rPr>
          <w:rFonts w:ascii="Calibri" w:cs="Calibri" w:eastAsia="Calibri" w:hAnsi="Calibri"/>
          <w:sz w:val="32"/>
          <w:szCs w:val="32"/>
          <w:b w:val="1"/>
          <w:bCs w:val="1"/>
          <w:color w:val="auto"/>
        </w:rPr>
        <w:t>FORM 8-K</w:t>
      </w:r>
    </w:p>
    <w:p>
      <w:pPr>
        <w:spacing w:after="0" w:line="178"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jc w:val="center"/>
        <w:spacing w:after="0" w:line="231" w:lineRule="auto"/>
        <w:rPr>
          <w:sz w:val="20"/>
          <w:szCs w:val="20"/>
          <w:color w:val="auto"/>
        </w:rPr>
      </w:pPr>
      <w:r>
        <w:rPr>
          <w:rFonts w:ascii="Calibri" w:cs="Calibri" w:eastAsia="Calibri" w:hAnsi="Calibri"/>
          <w:sz w:val="22"/>
          <w:szCs w:val="22"/>
          <w:b w:val="1"/>
          <w:bCs w:val="1"/>
          <w:color w:val="auto"/>
        </w:rPr>
        <w:t>Pursuant to Secton 13 or 15(d) of the</w:t>
      </w:r>
    </w:p>
    <w:p>
      <w:pPr>
        <w:jc w:val="center"/>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35"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Date of Report (Date of earliest event reported): February 9, 2023</w:t>
      </w:r>
    </w:p>
    <w:p>
      <w:pPr>
        <w:spacing w:after="0" w:line="118"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ABBVIE INC.</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(Exact name of registrant as specifed in its charter)</w:t>
      </w:r>
    </w:p>
    <w:p>
      <w:pPr>
        <w:sectPr>
          <w:pgSz w:w="11900" w:h="16838" w:orient="portrait"/>
          <w:cols w:equalWidth="0" w:num="1">
            <w:col w:w="11240"/>
          </w:cols>
          <w:pgMar w:left="320" w:top="1179" w:right="339" w:bottom="1440" w:gutter="0" w:footer="0" w:header="0"/>
        </w:sectPr>
      </w:pPr>
    </w:p>
    <w:p>
      <w:pPr>
        <w:spacing w:after="0" w:line="42" w:lineRule="exact"/>
        <w:rPr>
          <w:sz w:val="24"/>
          <w:szCs w:val="24"/>
          <w:color w:val="auto"/>
        </w:rPr>
      </w:pPr>
    </w:p>
    <w:p>
      <w:pPr>
        <w:ind w:left="1400"/>
        <w:spacing w:after="0"/>
        <w:rPr>
          <w:sz w:val="20"/>
          <w:szCs w:val="20"/>
          <w:color w:val="auto"/>
        </w:rPr>
      </w:pPr>
      <w:r>
        <w:rPr>
          <w:rFonts w:ascii="Calibri" w:cs="Calibri" w:eastAsia="Calibri" w:hAnsi="Calibri"/>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60"/>
        <w:spacing w:after="0"/>
        <w:rPr>
          <w:sz w:val="20"/>
          <w:szCs w:val="20"/>
          <w:color w:val="auto"/>
        </w:rPr>
      </w:pPr>
      <w:r>
        <w:rPr>
          <w:rFonts w:ascii="Calibri" w:cs="Calibri" w:eastAsia="Calibri" w:hAnsi="Calibri"/>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32-0375147</w:t>
      </w:r>
    </w:p>
    <w:p>
      <w:pPr>
        <w:spacing w:after="0" w:line="17" w:lineRule="exact"/>
        <w:rPr>
          <w:sz w:val="24"/>
          <w:szCs w:val="24"/>
          <w:color w:val="auto"/>
        </w:rPr>
      </w:pPr>
    </w:p>
    <w:p>
      <w:pPr>
        <w:sectPr>
          <w:pgSz w:w="11900" w:h="16838" w:orient="portrait"/>
          <w:cols w:equalWidth="0" w:num="3">
            <w:col w:w="4500" w:space="720"/>
            <w:col w:w="3120" w:space="720"/>
            <w:col w:w="2180"/>
          </w:cols>
          <w:pgMar w:left="320" w:top="1179" w:right="339" w:bottom="1440" w:gutter="0" w:footer="0" w:header="0"/>
          <w:type w:val="continuous"/>
        </w:sectPr>
      </w:pPr>
    </w:p>
    <w:p>
      <w:pPr>
        <w:spacing w:after="0" w:line="5" w:lineRule="exact"/>
        <w:rPr>
          <w:sz w:val="24"/>
          <w:szCs w:val="24"/>
          <w:color w:val="auto"/>
        </w:rPr>
      </w:pPr>
    </w:p>
    <w:p>
      <w:pPr>
        <w:jc w:val="center"/>
        <w:ind w:right="460"/>
        <w:spacing w:after="0"/>
        <w:rPr>
          <w:sz w:val="20"/>
          <w:szCs w:val="20"/>
          <w:color w:val="auto"/>
        </w:rPr>
      </w:pPr>
      <w:r>
        <w:rPr>
          <w:rFonts w:ascii="Calibri" w:cs="Calibri" w:eastAsia="Calibri" w:hAnsi="Calibri"/>
          <w:sz w:val="17"/>
          <w:szCs w:val="17"/>
          <w:color w:val="auto"/>
        </w:rPr>
        <w:t>(State or other jurisdicton</w:t>
      </w:r>
    </w:p>
    <w:p>
      <w:pPr>
        <w:spacing w:after="0" w:line="17" w:lineRule="exact"/>
        <w:rPr>
          <w:sz w:val="24"/>
          <w:szCs w:val="24"/>
          <w:color w:val="auto"/>
        </w:rPr>
      </w:pPr>
    </w:p>
    <w:p>
      <w:pPr>
        <w:jc w:val="center"/>
        <w:ind w:right="460"/>
        <w:spacing w:after="0"/>
        <w:rPr>
          <w:sz w:val="20"/>
          <w:szCs w:val="20"/>
          <w:color w:val="auto"/>
        </w:rPr>
      </w:pPr>
      <w:r>
        <w:rPr>
          <w:rFonts w:ascii="Calibri" w:cs="Calibri" w:eastAsia="Calibri" w:hAnsi="Calibri"/>
          <w:sz w:val="18"/>
          <w:szCs w:val="18"/>
          <w:color w:val="auto"/>
        </w:rPr>
        <w:t>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Calibri" w:cs="Calibri" w:eastAsia="Calibri" w:hAnsi="Calibri"/>
          <w:sz w:val="18"/>
          <w:szCs w:val="18"/>
          <w:color w:val="auto"/>
        </w:rPr>
        <w:t>(IRS Employer</w:t>
      </w:r>
    </w:p>
    <w:p>
      <w:pPr>
        <w:spacing w:after="0" w:line="10" w:lineRule="exact"/>
        <w:rPr>
          <w:sz w:val="24"/>
          <w:szCs w:val="24"/>
          <w:color w:val="auto"/>
        </w:rPr>
      </w:pPr>
    </w:p>
    <w:p>
      <w:pPr>
        <w:jc w:val="center"/>
        <w:ind w:right="1120"/>
        <w:spacing w:after="0"/>
        <w:rPr>
          <w:sz w:val="20"/>
          <w:szCs w:val="20"/>
          <w:color w:val="auto"/>
        </w:rPr>
      </w:pPr>
      <w:r>
        <w:rPr>
          <w:rFonts w:ascii="Calibri" w:cs="Calibri" w:eastAsia="Calibri" w:hAnsi="Calibri"/>
          <w:sz w:val="18"/>
          <w:szCs w:val="18"/>
          <w:color w:val="auto"/>
        </w:rPr>
        <w:t>Identfcaton No.)</w:t>
      </w:r>
    </w:p>
    <w:p>
      <w:pPr>
        <w:spacing w:after="0" w:line="96" w:lineRule="exact"/>
        <w:rPr>
          <w:sz w:val="24"/>
          <w:szCs w:val="24"/>
          <w:color w:val="auto"/>
        </w:rPr>
      </w:pPr>
    </w:p>
    <w:p>
      <w:pPr>
        <w:sectPr>
          <w:pgSz w:w="11900" w:h="16838" w:orient="portrait"/>
          <w:cols w:equalWidth="0" w:num="3">
            <w:col w:w="3940" w:space="720"/>
            <w:col w:w="3460" w:space="720"/>
            <w:col w:w="2400"/>
          </w:cols>
          <w:pgMar w:left="320" w:top="1179" w:right="339" w:bottom="1440" w:gutter="0" w:footer="0" w:header="0"/>
          <w:type w:val="continuous"/>
        </w:sectPr>
      </w:pPr>
    </w:p>
    <w:p>
      <w:pPr>
        <w:jc w:val="center"/>
        <w:ind w:right="-39"/>
        <w:spacing w:after="0"/>
        <w:rPr>
          <w:sz w:val="20"/>
          <w:szCs w:val="20"/>
          <w:color w:val="auto"/>
        </w:rPr>
      </w:pPr>
      <w:r>
        <w:rPr>
          <w:rFonts w:ascii="Calibri" w:cs="Calibri" w:eastAsia="Calibri" w:hAnsi="Calibri"/>
          <w:sz w:val="17"/>
          <w:szCs w:val="17"/>
          <w:color w:val="auto"/>
        </w:rPr>
        <w:t>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1 North Waukegan Road</w:t>
      </w:r>
    </w:p>
    <w:p>
      <w:pPr>
        <w:jc w:val="center"/>
        <w:spacing w:after="0" w:line="235" w:lineRule="auto"/>
        <w:rPr>
          <w:sz w:val="20"/>
          <w:szCs w:val="20"/>
          <w:color w:val="auto"/>
        </w:rPr>
      </w:pPr>
      <w:r>
        <w:rPr>
          <w:rFonts w:ascii="Calibri" w:cs="Calibri" w:eastAsia="Calibri" w:hAnsi="Calibri"/>
          <w:sz w:val="18"/>
          <w:szCs w:val="18"/>
          <w:b w:val="1"/>
          <w:bCs w:val="1"/>
          <w:color w:val="auto"/>
        </w:rPr>
        <w:t>North Chicago, Illinois 60064-6400</w:t>
      </w:r>
    </w:p>
    <w:p>
      <w:pPr>
        <w:jc w:val="center"/>
        <w:spacing w:after="0" w:line="236" w:lineRule="auto"/>
        <w:rPr>
          <w:sz w:val="20"/>
          <w:szCs w:val="20"/>
          <w:color w:val="auto"/>
        </w:rPr>
      </w:pPr>
      <w:r>
        <w:rPr>
          <w:rFonts w:ascii="Calibri" w:cs="Calibri" w:eastAsia="Calibri" w:hAnsi="Calibri"/>
          <w:sz w:val="18"/>
          <w:szCs w:val="18"/>
          <w:color w:val="auto"/>
        </w:rPr>
        <w:t>(Address of principal executve ofces)(Zip Code)</w:t>
      </w:r>
    </w:p>
    <w:p>
      <w:pPr>
        <w:sectPr>
          <w:pgSz w:w="11900" w:h="16838" w:orient="portrait"/>
          <w:cols w:equalWidth="0" w:num="1">
            <w:col w:w="11240"/>
          </w:cols>
          <w:pgMar w:left="320" w:top="1179" w:right="339" w:bottom="1440" w:gutter="0" w:footer="0" w:header="0"/>
          <w:type w:val="continuous"/>
        </w:sectPr>
      </w:pPr>
    </w:p>
    <w:p>
      <w:pPr>
        <w:spacing w:after="0" w:line="137" w:lineRule="exact"/>
        <w:rPr>
          <w:sz w:val="24"/>
          <w:szCs w:val="24"/>
          <w:color w:val="auto"/>
        </w:rPr>
      </w:pPr>
    </w:p>
    <w:p>
      <w:pPr>
        <w:ind w:left="3180"/>
        <w:spacing w:after="0"/>
        <w:rPr>
          <w:sz w:val="20"/>
          <w:szCs w:val="20"/>
          <w:color w:val="auto"/>
        </w:rPr>
      </w:pPr>
      <w:r>
        <w:rPr>
          <w:rFonts w:ascii="Calibri" w:cs="Calibri" w:eastAsia="Calibri" w:hAnsi="Calibri"/>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(847) 932-7900</w:t>
      </w:r>
    </w:p>
    <w:p>
      <w:pPr>
        <w:spacing w:after="0" w:line="130" w:lineRule="exact"/>
        <w:rPr>
          <w:sz w:val="24"/>
          <w:szCs w:val="24"/>
          <w:color w:val="auto"/>
        </w:rPr>
      </w:pPr>
    </w:p>
    <w:p>
      <w:pPr>
        <w:sectPr>
          <w:pgSz w:w="11900" w:h="16838" w:orient="portrait"/>
          <w:cols w:equalWidth="0" w:num="2">
            <w:col w:w="6880" w:space="80"/>
            <w:col w:w="4280"/>
          </w:cols>
          <w:pgMar w:left="320" w:top="1179" w:right="339" w:bottom="1440" w:gutter="0" w:footer="0" w:header="0"/>
          <w:type w:val="continuous"/>
        </w:sectPr>
      </w:pPr>
    </w:p>
    <w:p>
      <w:pPr>
        <w:ind w:right="24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10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b w:val="1"/>
                <w:bCs w:val="1"/>
                <w:color w:val="auto"/>
              </w:rPr>
              <w:t>Title of each class</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Trading Symbol(s)</w:t>
            </w:r>
          </w:p>
        </w:tc>
        <w:tc>
          <w:tcPr>
            <w:tcW w:w="376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7"/>
        </w:trPr>
        <w:tc>
          <w:tcPr>
            <w:tcW w:w="354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40" w:type="dxa"/>
            <w:vAlign w:val="bottom"/>
          </w:tcPr>
          <w:p>
            <w:pPr>
              <w:spacing w:after="0"/>
              <w:rPr>
                <w:sz w:val="16"/>
                <w:szCs w:val="16"/>
                <w:color w:val="auto"/>
              </w:rPr>
            </w:pPr>
          </w:p>
        </w:tc>
        <w:tc>
          <w:tcPr>
            <w:tcW w:w="3460" w:type="dxa"/>
            <w:vAlign w:val="bottom"/>
          </w:tcPr>
          <w:p>
            <w:pPr>
              <w:jc w:val="center"/>
              <w:spacing w:after="0" w:line="187" w:lineRule="exact"/>
              <w:rPr>
                <w:sz w:val="20"/>
                <w:szCs w:val="20"/>
                <w:color w:val="auto"/>
              </w:rPr>
            </w:pPr>
            <w:r>
              <w:rPr>
                <w:rFonts w:ascii="Calibri" w:cs="Calibri" w:eastAsia="Calibri" w:hAnsi="Calibri"/>
                <w:sz w:val="16"/>
                <w:szCs w:val="16"/>
                <w:color w:val="auto"/>
              </w:rPr>
              <w:t>ABBV</w:t>
            </w:r>
          </w:p>
        </w:tc>
        <w:tc>
          <w:tcPr>
            <w:tcW w:w="240" w:type="dxa"/>
            <w:vAlign w:val="bottom"/>
          </w:tcPr>
          <w:p>
            <w:pPr>
              <w:spacing w:after="0"/>
              <w:rPr>
                <w:sz w:val="16"/>
                <w:szCs w:val="16"/>
                <w:color w:val="auto"/>
              </w:rPr>
            </w:pPr>
          </w:p>
        </w:tc>
        <w:tc>
          <w:tcPr>
            <w:tcW w:w="376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New York Stock Exchange</w:t>
            </w:r>
          </w:p>
        </w:tc>
      </w:tr>
      <w:tr>
        <w:trPr>
          <w:trHeight w:val="211"/>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Calibri" w:cs="Calibri" w:eastAsia="Calibri" w:hAnsi="Calibri"/>
                <w:sz w:val="16"/>
                <w:szCs w:val="16"/>
                <w:color w:val="auto"/>
              </w:rPr>
              <w:t>Chicago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1.500% Senior Notes due 2023</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8"/>
              </w:rPr>
              <w:t>ABBV23B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1.375% Senior Notes due 2024</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ABBV24</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1.250% Senior Notes due 2024</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8"/>
              </w:rPr>
              <w:t>ABBV24B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0.750% Senior Notes due 2027</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ABBV27</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2.125% Senior Notes due 2028</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ABBV28</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8"/>
              </w:rPr>
              <w:t>ABBV28B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2.125% Senior Notes due 2029</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ABBV29</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780" w:type="dxa"/>
            <w:vAlign w:val="bottom"/>
            <w:gridSpan w:val="2"/>
          </w:tcPr>
          <w:p>
            <w:pPr>
              <w:jc w:val="center"/>
              <w:ind w:right="240"/>
              <w:spacing w:after="0"/>
              <w:rPr>
                <w:sz w:val="20"/>
                <w:szCs w:val="20"/>
                <w:color w:val="auto"/>
              </w:rPr>
            </w:pPr>
            <w:r>
              <w:rPr>
                <w:rFonts w:ascii="Calibri" w:cs="Calibri" w:eastAsia="Calibri" w:hAnsi="Calibri"/>
                <w:sz w:val="16"/>
                <w:szCs w:val="16"/>
                <w:color w:val="auto"/>
              </w:rPr>
              <w:t>1.250% Senior Notes due 2031</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ABBV31</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bl>
    <w:p>
      <w:pPr>
        <w:spacing w:after="0" w:line="167" w:lineRule="exact"/>
        <w:rPr>
          <w:sz w:val="24"/>
          <w:szCs w:val="24"/>
          <w:color w:val="auto"/>
        </w:rPr>
      </w:pPr>
    </w:p>
    <w:p>
      <w:pPr>
        <w:ind w:right="10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85"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42" w:lineRule="exact"/>
        <w:rPr>
          <w:sz w:val="24"/>
          <w:szCs w:val="24"/>
          <w:color w:val="auto"/>
        </w:rPr>
      </w:pPr>
    </w:p>
    <w:p>
      <w:pPr>
        <w:ind w:right="100"/>
        <w:spacing w:after="0" w:line="238"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Item 2.02. Results of Operatons and Financial Conditon</w:t>
      </w:r>
    </w:p>
    <w:p>
      <w:pPr>
        <w:spacing w:after="0" w:line="2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On February 9, 2023, AbbVie Inc. issued a press release announcing fnancial results for the fourth quarter and full year ended December 31, 2022. A copy of the press release is furnished as Exhibit 99.1 to this report and incorporated herein by reference.</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60" w:type="dxa"/>
            <w:vAlign w:val="bottom"/>
            <w:gridSpan w:val="2"/>
          </w:tcPr>
          <w:p>
            <w:pPr>
              <w:spacing w:after="0"/>
              <w:rPr>
                <w:sz w:val="20"/>
                <w:szCs w:val="20"/>
                <w:color w:val="auto"/>
              </w:rPr>
            </w:pPr>
            <w:r>
              <w:rPr>
                <w:rFonts w:ascii="Calibri" w:cs="Calibri" w:eastAsia="Calibri" w:hAnsi="Calibri"/>
                <w:sz w:val="20"/>
                <w:szCs w:val="20"/>
                <w:color w:val="auto"/>
              </w:rPr>
              <w:t>(d) Exhibits</w:t>
            </w:r>
          </w:p>
        </w:tc>
        <w:tc>
          <w:tcPr>
            <w:tcW w:w="8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60" w:type="dxa"/>
            <w:vAlign w:val="bottom"/>
            <w:gridSpan w:val="2"/>
          </w:tcPr>
          <w:p>
            <w:pPr>
              <w:ind w:left="20"/>
              <w:spacing w:after="0"/>
              <w:rPr>
                <w:sz w:val="20"/>
                <w:szCs w:val="20"/>
                <w:color w:val="auto"/>
              </w:rPr>
            </w:pPr>
            <w:r>
              <w:rPr>
                <w:rFonts w:ascii="Calibri" w:cs="Calibri" w:eastAsia="Calibri" w:hAnsi="Calibri"/>
                <w:sz w:val="20"/>
                <w:szCs w:val="20"/>
                <w:b w:val="1"/>
                <w:bCs w:val="1"/>
                <w:color w:val="auto"/>
              </w:rPr>
              <w:t>Exhibit No.</w:t>
            </w:r>
          </w:p>
        </w:tc>
        <w:tc>
          <w:tcPr>
            <w:tcW w:w="9480" w:type="dxa"/>
            <w:vAlign w:val="bottom"/>
            <w:gridSpan w:val="2"/>
          </w:tcPr>
          <w:p>
            <w:pPr>
              <w:ind w:left="20"/>
              <w:spacing w:after="0"/>
              <w:rPr>
                <w:sz w:val="20"/>
                <w:szCs w:val="20"/>
                <w:color w:val="auto"/>
              </w:rPr>
            </w:pPr>
            <w:r>
              <w:rPr>
                <w:rFonts w:ascii="Calibri" w:cs="Calibri" w:eastAsia="Calibri" w:hAnsi="Calibri"/>
                <w:sz w:val="20"/>
                <w:szCs w:val="20"/>
                <w:b w:val="1"/>
                <w:bCs w:val="1"/>
                <w:color w:val="auto"/>
              </w:rPr>
              <w:t>Exhibit</w:t>
            </w: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480" w:type="dxa"/>
            <w:vAlign w:val="bottom"/>
            <w:vMerge w:val="restart"/>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280" w:type="dxa"/>
            <w:vAlign w:val="bottom"/>
          </w:tcPr>
          <w:p>
            <w:pPr>
              <w:ind w:left="20"/>
              <w:spacing w:after="0" w:line="225" w:lineRule="exact"/>
              <w:rPr>
                <w:sz w:val="20"/>
                <w:szCs w:val="20"/>
                <w:color w:val="auto"/>
              </w:rPr>
            </w:pPr>
            <w:r>
              <w:rPr>
                <w:rFonts w:ascii="Calibri" w:cs="Calibri" w:eastAsia="Calibri" w:hAnsi="Calibri"/>
                <w:sz w:val="20"/>
                <w:szCs w:val="20"/>
                <w:color w:val="auto"/>
              </w:rPr>
              <w:t>99.1</w:t>
            </w:r>
          </w:p>
        </w:tc>
        <w:tc>
          <w:tcPr>
            <w:tcW w:w="480" w:type="dxa"/>
            <w:vAlign w:val="bottom"/>
            <w:vMerge w:val="continue"/>
          </w:tcPr>
          <w:p>
            <w:pPr>
              <w:spacing w:after="0"/>
              <w:rPr>
                <w:sz w:val="19"/>
                <w:szCs w:val="19"/>
                <w:color w:val="auto"/>
              </w:rPr>
            </w:pPr>
          </w:p>
        </w:tc>
        <w:tc>
          <w:tcPr>
            <w:tcW w:w="8460" w:type="dxa"/>
            <w:vAlign w:val="bottom"/>
          </w:tcPr>
          <w:p>
            <w:pPr>
              <w:ind w:left="20"/>
              <w:spacing w:after="0" w:line="225" w:lineRule="exact"/>
              <w:rPr>
                <w:sz w:val="20"/>
                <w:szCs w:val="20"/>
                <w:color w:val="auto"/>
              </w:rPr>
            </w:pPr>
            <w:r>
              <w:rPr>
                <w:rFonts w:ascii="Calibri" w:cs="Calibri" w:eastAsia="Calibri" w:hAnsi="Calibri"/>
                <w:sz w:val="20"/>
                <w:szCs w:val="20"/>
                <w:color w:val="auto"/>
              </w:rPr>
              <w:t>Press Release dated February 9, 2023 (furnished pursuant to Item 2.02).</w:t>
            </w: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line="203" w:lineRule="exact"/>
              <w:rPr>
                <w:sz w:val="20"/>
                <w:szCs w:val="20"/>
                <w:color w:val="auto"/>
              </w:rPr>
            </w:pPr>
            <w:r>
              <w:rPr>
                <w:rFonts w:ascii="Calibri" w:cs="Calibri" w:eastAsia="Calibri" w:hAnsi="Calibri"/>
                <w:sz w:val="20"/>
                <w:szCs w:val="20"/>
                <w:color w:val="auto"/>
              </w:rPr>
              <w:t>104</w:t>
            </w:r>
          </w:p>
        </w:tc>
        <w:tc>
          <w:tcPr>
            <w:tcW w:w="480" w:type="dxa"/>
            <w:vAlign w:val="bottom"/>
          </w:tcPr>
          <w:p>
            <w:pPr>
              <w:spacing w:after="0"/>
              <w:rPr>
                <w:sz w:val="17"/>
                <w:szCs w:val="17"/>
                <w:color w:val="auto"/>
              </w:rPr>
            </w:pPr>
          </w:p>
        </w:tc>
        <w:tc>
          <w:tcPr>
            <w:tcW w:w="9480" w:type="dxa"/>
            <w:vAlign w:val="bottom"/>
            <w:gridSpan w:val="2"/>
          </w:tcPr>
          <w:p>
            <w:pPr>
              <w:ind w:left="20"/>
              <w:spacing w:after="0" w:line="203" w:lineRule="exact"/>
              <w:rPr>
                <w:sz w:val="20"/>
                <w:szCs w:val="20"/>
                <w:color w:val="auto"/>
              </w:rPr>
            </w:pPr>
            <w:r>
              <w:rPr>
                <w:rFonts w:ascii="Calibri" w:cs="Calibri" w:eastAsia="Calibri" w:hAnsi="Calibri"/>
                <w:sz w:val="20"/>
                <w:szCs w:val="20"/>
                <w:color w:val="auto"/>
              </w:rPr>
              <w:t>The cover page from this Current Report on Form 8-K formated in Inline XBRL (included as Exhibit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60" w:type="dxa"/>
            <w:vAlign w:val="bottom"/>
          </w:tcPr>
          <w:p>
            <w:pPr>
              <w:ind w:left="20"/>
              <w:spacing w:after="0" w:line="234" w:lineRule="exact"/>
              <w:rPr>
                <w:sz w:val="20"/>
                <w:szCs w:val="20"/>
                <w:color w:val="auto"/>
              </w:rPr>
            </w:pPr>
            <w:r>
              <w:rPr>
                <w:rFonts w:ascii="Calibri" w:cs="Calibri" w:eastAsia="Calibri" w:hAnsi="Calibri"/>
                <w:sz w:val="20"/>
                <w:szCs w:val="20"/>
                <w:color w:val="auto"/>
              </w:rPr>
              <w:t>101).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55"/>
        </w:trPr>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SIGNATURE</w:t>
      </w:r>
    </w:p>
    <w:p>
      <w:pPr>
        <w:spacing w:after="0" w:line="2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hereunto duly authorized.</w:t>
      </w:r>
    </w:p>
    <w:p>
      <w:pPr>
        <w:spacing w:after="0" w:line="257" w:lineRule="exact"/>
        <w:rPr>
          <w:sz w:val="20"/>
          <w:szCs w:val="20"/>
          <w:color w:val="auto"/>
        </w:rPr>
      </w:pPr>
    </w:p>
    <w:p>
      <w:pPr>
        <w:ind w:left="6000"/>
        <w:spacing w:after="0"/>
        <w:rPr>
          <w:sz w:val="20"/>
          <w:szCs w:val="20"/>
          <w:color w:val="auto"/>
        </w:rPr>
      </w:pPr>
      <w:r>
        <w:rPr>
          <w:rFonts w:ascii="Calibri" w:cs="Calibri" w:eastAsia="Calibri" w:hAnsi="Calibri"/>
          <w:sz w:val="20"/>
          <w:szCs w:val="20"/>
          <w:b w:val="1"/>
          <w:bCs w:val="1"/>
          <w:color w:val="auto"/>
        </w:rPr>
        <w:t>ABBVIE INC.</w:t>
      </w:r>
    </w:p>
    <w:p>
      <w:pPr>
        <w:spacing w:after="0" w:line="228" w:lineRule="exact"/>
        <w:rPr>
          <w:sz w:val="20"/>
          <w:szCs w:val="20"/>
          <w:color w:val="auto"/>
        </w:rPr>
      </w:pPr>
    </w:p>
    <w:p>
      <w:pPr>
        <w:ind w:left="20"/>
        <w:spacing w:after="0"/>
        <w:tabs>
          <w:tab w:leader="none" w:pos="660" w:val="left"/>
          <w:tab w:leader="none" w:pos="5380" w:val="left"/>
          <w:tab w:leader="none" w:pos="5980" w:val="left"/>
        </w:tabs>
        <w:rPr>
          <w:sz w:val="20"/>
          <w:szCs w:val="20"/>
          <w:color w:val="auto"/>
        </w:rPr>
      </w:pPr>
      <w:r>
        <w:rPr>
          <w:rFonts w:ascii="Calibri" w:cs="Calibri" w:eastAsia="Calibri" w:hAnsi="Calibri"/>
          <w:sz w:val="20"/>
          <w:szCs w:val="20"/>
          <w:color w:val="auto"/>
        </w:rPr>
        <w:t>Date:</w:t>
        <w:tab/>
        <w:t>February 9, 2023</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Scot T. Reents</w:t>
      </w:r>
    </w:p>
    <w:p>
      <w:pPr>
        <w:spacing w:after="0" w:line="26" w:lineRule="exact"/>
        <w:rPr>
          <w:sz w:val="20"/>
          <w:szCs w:val="20"/>
          <w:color w:val="auto"/>
        </w:rPr>
      </w:pPr>
    </w:p>
    <w:p>
      <w:pPr>
        <w:ind w:left="6000"/>
        <w:spacing w:after="0"/>
        <w:rPr>
          <w:sz w:val="20"/>
          <w:szCs w:val="20"/>
          <w:color w:val="auto"/>
        </w:rPr>
      </w:pPr>
      <w:r>
        <w:rPr>
          <w:rFonts w:ascii="Calibri" w:cs="Calibri" w:eastAsia="Calibri" w:hAnsi="Calibri"/>
          <w:sz w:val="20"/>
          <w:szCs w:val="20"/>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-141605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6000"/>
        <w:spacing w:after="0"/>
        <w:rPr>
          <w:sz w:val="20"/>
          <w:szCs w:val="20"/>
          <w:color w:val="auto"/>
        </w:rPr>
      </w:pPr>
      <w:r>
        <w:rPr>
          <w:rFonts w:ascii="Calibri" w:cs="Calibri" w:eastAsia="Calibri" w:hAnsi="Calibri"/>
          <w:sz w:val="20"/>
          <w:szCs w:val="20"/>
          <w:color w:val="auto"/>
        </w:rPr>
        <w:t>Executve Vice President,</w:t>
      </w:r>
    </w:p>
    <w:p>
      <w:pPr>
        <w:spacing w:after="0" w:line="12" w:lineRule="exact"/>
        <w:rPr>
          <w:sz w:val="20"/>
          <w:szCs w:val="20"/>
          <w:color w:val="auto"/>
        </w:rPr>
      </w:pPr>
    </w:p>
    <w:p>
      <w:pPr>
        <w:ind w:left="6000"/>
        <w:spacing w:after="0"/>
        <w:rPr>
          <w:sz w:val="20"/>
          <w:szCs w:val="20"/>
          <w:color w:val="auto"/>
        </w:rPr>
      </w:pPr>
      <w:r>
        <w:rPr>
          <w:rFonts w:ascii="Calibri" w:cs="Calibri" w:eastAsia="Calibri" w:hAnsi="Calibri"/>
          <w:sz w:val="20"/>
          <w:szCs w:val="20"/>
          <w:color w:val="auto"/>
        </w:rPr>
        <w:t>Chief Financial Ofcer</w:t>
      </w:r>
    </w:p>
    <w:p>
      <w:pPr>
        <w:sectPr>
          <w:pgSz w:w="11900" w:h="16838" w:orient="portrait"/>
          <w:cols w:equalWidth="0" w:num="1">
            <w:col w:w="11200"/>
          </w:cols>
          <w:pgMar w:left="320" w:top="87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127698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71D49"/>
        </w:rPr>
        <w:t>PRESS RELEASE</w:t>
      </w:r>
    </w:p>
    <w:p>
      <w:pPr>
        <w:spacing w:after="0" w:line="227" w:lineRule="exact"/>
        <w:rPr>
          <w:sz w:val="20"/>
          <w:szCs w:val="20"/>
          <w:color w:val="auto"/>
        </w:rPr>
      </w:pPr>
    </w:p>
    <w:p>
      <w:pPr>
        <w:ind w:left="40"/>
        <w:spacing w:after="0"/>
        <w:rPr>
          <w:sz w:val="20"/>
          <w:szCs w:val="20"/>
          <w:color w:val="auto"/>
        </w:rPr>
      </w:pPr>
      <w:r>
        <w:rPr>
          <w:rFonts w:ascii="Calibri" w:cs="Calibri" w:eastAsia="Calibri" w:hAnsi="Calibri"/>
          <w:sz w:val="25"/>
          <w:szCs w:val="25"/>
          <w:b w:val="1"/>
          <w:bCs w:val="1"/>
          <w:color w:val="auto"/>
        </w:rPr>
        <w:t>AbbVie Reports Full-Year and Fourth-Quarter 2022 Financial Results</w:t>
      </w:r>
    </w:p>
    <w:p>
      <w:pPr>
        <w:spacing w:after="0" w:line="251" w:lineRule="exact"/>
        <w:rPr>
          <w:sz w:val="20"/>
          <w:szCs w:val="20"/>
          <w:color w:val="auto"/>
        </w:rPr>
      </w:pPr>
    </w:p>
    <w:p>
      <w:pPr>
        <w:ind w:left="660" w:right="60" w:hanging="328"/>
        <w:spacing w:after="0" w:line="232"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Reports Full-Year Diluted EPS of $6.63 on a GAAP Basis, an Increase of 2.8 Percent; Adjusted Diluted EPS of $13.77, an Increase of 16.4 Percent; These Results Include an Unfavorable Impact of $0.39 Per Share related to 2022 Acquired IPR&amp;D and Milestones Expense</w:t>
      </w:r>
      <w:r>
        <w:rPr>
          <w:rFonts w:ascii="Calibri" w:cs="Calibri" w:eastAsia="Calibri" w:hAnsi="Calibri"/>
          <w:sz w:val="25"/>
          <w:szCs w:val="25"/>
          <w:i w:val="1"/>
          <w:iCs w:val="1"/>
          <w:color w:val="auto"/>
          <w:vertAlign w:val="superscript"/>
        </w:rPr>
        <w:t>1</w:t>
      </w:r>
    </w:p>
    <w:p>
      <w:pPr>
        <w:spacing w:after="0" w:line="191" w:lineRule="exact"/>
        <w:rPr>
          <w:rFonts w:ascii="Calibri" w:cs="Calibri" w:eastAsia="Calibri" w:hAnsi="Calibri"/>
          <w:sz w:val="20"/>
          <w:szCs w:val="20"/>
          <w:i w:val="1"/>
          <w:iCs w:val="1"/>
          <w:color w:val="auto"/>
        </w:rPr>
      </w:pPr>
    </w:p>
    <w:p>
      <w:pPr>
        <w:ind w:left="660" w:right="840" w:hanging="328"/>
        <w:spacing w:after="0" w:line="234"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Delivers Full-Year Net Revenues of $58.054 Billion, an Increase of 3.3 Percent on a Reported Basis and 5.1 Percent on an Operatonal Basis</w:t>
      </w:r>
    </w:p>
    <w:p>
      <w:pPr>
        <w:spacing w:after="0" w:line="239" w:lineRule="exact"/>
        <w:rPr>
          <w:rFonts w:ascii="Calibri" w:cs="Calibri" w:eastAsia="Calibri" w:hAnsi="Calibri"/>
          <w:sz w:val="20"/>
          <w:szCs w:val="20"/>
          <w:i w:val="1"/>
          <w:iCs w:val="1"/>
          <w:color w:val="auto"/>
        </w:rPr>
      </w:pPr>
    </w:p>
    <w:p>
      <w:pPr>
        <w:jc w:val="both"/>
        <w:ind w:left="660" w:right="280" w:hanging="328"/>
        <w:spacing w:after="0" w:line="231"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Full-Year Global Net Revenues from the Immunology Portolio Were $28.924 Billion, an Increase of 14.4 Percent on a Reported Basis, or 16.0 Percent on an Operatonal Basis; Global Humira Net Revenues Were $21.237 billion; Global Skyrizi Net Revenues Were $5.165 Billion; Global Rinvoq Net Revenues Were $2.522 Billion</w:t>
      </w:r>
    </w:p>
    <w:p>
      <w:pPr>
        <w:spacing w:after="0" w:line="253" w:lineRule="exact"/>
        <w:rPr>
          <w:rFonts w:ascii="Calibri" w:cs="Calibri" w:eastAsia="Calibri" w:hAnsi="Calibri"/>
          <w:sz w:val="20"/>
          <w:szCs w:val="20"/>
          <w:i w:val="1"/>
          <w:iCs w:val="1"/>
          <w:color w:val="auto"/>
        </w:rPr>
      </w:pPr>
    </w:p>
    <w:p>
      <w:pPr>
        <w:ind w:left="660" w:right="20" w:hanging="328"/>
        <w:spacing w:after="0" w:line="231"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Full-Year Global Net Revenues from the Hematologic Oncology Portolio Were $6.577 Billion, a Decrease of 9.0 Percent on a Reported Basis, or 7.6 Percent on an Operatonal Basis; Global Imbruvica Net Revenues Were $4.568 Billion; Global Venclexta Net Revenues Were $2.009 Billion</w:t>
      </w:r>
    </w:p>
    <w:p>
      <w:pPr>
        <w:spacing w:after="0" w:line="253" w:lineRule="exact"/>
        <w:rPr>
          <w:rFonts w:ascii="Calibri" w:cs="Calibri" w:eastAsia="Calibri" w:hAnsi="Calibri"/>
          <w:sz w:val="20"/>
          <w:szCs w:val="20"/>
          <w:i w:val="1"/>
          <w:iCs w:val="1"/>
          <w:color w:val="auto"/>
        </w:rPr>
      </w:pPr>
    </w:p>
    <w:p>
      <w:pPr>
        <w:ind w:left="660" w:right="240" w:hanging="328"/>
        <w:spacing w:after="0" w:line="231"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Full-Year Global Net Revenues from the Neuroscience Portolio Were $6.528 Billion, an Increase of 10.1 Percent on a Reported Basis, or 11.6 Percent on an Operatonal Basis; Global Botox Therapeutc Net Revenues Were $2.719 Billion; Global Vraylar Net Revenues Were $2.038 Billion</w:t>
      </w:r>
    </w:p>
    <w:p>
      <w:pPr>
        <w:spacing w:after="0" w:line="253" w:lineRule="exact"/>
        <w:rPr>
          <w:rFonts w:ascii="Calibri" w:cs="Calibri" w:eastAsia="Calibri" w:hAnsi="Calibri"/>
          <w:sz w:val="20"/>
          <w:szCs w:val="20"/>
          <w:i w:val="1"/>
          <w:iCs w:val="1"/>
          <w:color w:val="auto"/>
        </w:rPr>
      </w:pPr>
    </w:p>
    <w:p>
      <w:pPr>
        <w:ind w:left="660" w:right="80" w:hanging="328"/>
        <w:spacing w:after="0" w:line="231"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Full-Year Global Net Revenues from the Aesthetcs Portolio Were $5.333 Billion, an Increase of 1.9 Percent on a Reported Basis, or 5.1 Percent on an Operatonal Basis; Global Botox Cosmetc Net Revenues Were $2.615 Billion; Global Juvederm Net Revenues Were $1.428 Billion</w:t>
      </w:r>
    </w:p>
    <w:p>
      <w:pPr>
        <w:spacing w:after="0" w:line="240" w:lineRule="exact"/>
        <w:rPr>
          <w:rFonts w:ascii="Calibri" w:cs="Calibri" w:eastAsia="Calibri" w:hAnsi="Calibri"/>
          <w:sz w:val="20"/>
          <w:szCs w:val="20"/>
          <w:i w:val="1"/>
          <w:iCs w:val="1"/>
          <w:color w:val="auto"/>
        </w:rPr>
      </w:pPr>
    </w:p>
    <w:p>
      <w:pPr>
        <w:ind w:left="660" w:right="520" w:hanging="328"/>
        <w:spacing w:after="0" w:line="236"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Reports Fourth-Quarter Diluted EPS of $1.38 on a GAAP Basis, a decrease of 38.9 Percent; Adjusted Diluted EPS of $3.60, an increase of 16.9 Percent; These Results Include an Unfavorable Impact of $0.13 Per Share Related to Fourth-Quarter 2022 Acquired IPR&amp;D and Milestones Expense</w:t>
      </w:r>
    </w:p>
    <w:p>
      <w:pPr>
        <w:spacing w:after="0" w:line="238" w:lineRule="exact"/>
        <w:rPr>
          <w:rFonts w:ascii="Calibri" w:cs="Calibri" w:eastAsia="Calibri" w:hAnsi="Calibri"/>
          <w:sz w:val="20"/>
          <w:szCs w:val="20"/>
          <w:i w:val="1"/>
          <w:iCs w:val="1"/>
          <w:color w:val="auto"/>
        </w:rPr>
      </w:pPr>
    </w:p>
    <w:p>
      <w:pPr>
        <w:ind w:left="660" w:right="300" w:hanging="328"/>
        <w:spacing w:after="0" w:line="234"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Delivers Fourth-Quarter Net Revenues of $15.121 Billion, an Increase of 1.6 Percent on a Reported Basis and 3.8 Percent on an Operatonal Basis</w:t>
      </w:r>
    </w:p>
    <w:p>
      <w:pPr>
        <w:spacing w:after="0" w:line="239" w:lineRule="exact"/>
        <w:rPr>
          <w:rFonts w:ascii="Calibri" w:cs="Calibri" w:eastAsia="Calibri" w:hAnsi="Calibri"/>
          <w:sz w:val="20"/>
          <w:szCs w:val="20"/>
          <w:i w:val="1"/>
          <w:iCs w:val="1"/>
          <w:color w:val="auto"/>
        </w:rPr>
      </w:pPr>
    </w:p>
    <w:p>
      <w:pPr>
        <w:ind w:left="660" w:right="420" w:hanging="328"/>
        <w:spacing w:after="0" w:line="234" w:lineRule="auto"/>
        <w:tabs>
          <w:tab w:leader="none" w:pos="653"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Provides 2023 Adjusted Diluted EPS Guidance Range of $10.70 to $11.10, which Excludes Any Unfavorable Impact Related to Acquired IPR&amp;D and Milestones Expense</w:t>
      </w:r>
    </w:p>
    <w:p>
      <w:pPr>
        <w:spacing w:after="0" w:line="239"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b w:val="1"/>
          <w:bCs w:val="1"/>
          <w:color w:val="auto"/>
        </w:rPr>
        <w:t xml:space="preserve">NORTH CHICAGO, Ill., </w:t>
      </w:r>
      <w:r>
        <w:rPr>
          <w:rFonts w:ascii="Calibri" w:cs="Calibri" w:eastAsia="Calibri" w:hAnsi="Calibri"/>
          <w:sz w:val="20"/>
          <w:szCs w:val="20"/>
          <w:color w:val="auto"/>
        </w:rPr>
        <w:t>February 9, 2023 – AbbVie (NYSE:ABBV) announced fnancial results for the fourth quarter and full year ended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December 31, 2022.</w:t>
      </w:r>
    </w:p>
    <w:p>
      <w:pPr>
        <w:spacing w:after="0" w:line="226" w:lineRule="exact"/>
        <w:rPr>
          <w:sz w:val="20"/>
          <w:szCs w:val="20"/>
          <w:color w:val="auto"/>
        </w:rPr>
      </w:pPr>
    </w:p>
    <w:p>
      <w:pPr>
        <w:ind w:right="60"/>
        <w:spacing w:after="0" w:line="219" w:lineRule="auto"/>
        <w:rPr>
          <w:sz w:val="20"/>
          <w:szCs w:val="20"/>
          <w:color w:val="auto"/>
        </w:rPr>
      </w:pPr>
      <w:r>
        <w:rPr>
          <w:rFonts w:ascii="Calibri" w:cs="Calibri" w:eastAsia="Calibri" w:hAnsi="Calibri"/>
          <w:sz w:val="20"/>
          <w:szCs w:val="20"/>
          <w:color w:val="auto"/>
        </w:rPr>
        <w:t>"2022 was another highly productve year capping a decade of outstanding performance. Since our incepton, we have built a diverse portolio of growth products with signifcant leadership positons, developed a robust pipeline of innovatve assets and created a culture of strong executon," said Richard A. Gonzalez, chairman and chief executve ofcer, AbbVie. "Looking forward, we have a solid foundaton which will allow us to absorb the U.S. Humira loss of exclusivity, return to strong top-line growth in 2025 and drive top-ter fnancial performance over the long term."</w:t>
      </w:r>
    </w:p>
    <w:p>
      <w:pPr>
        <w:ind w:left="20"/>
        <w:spacing w:after="0" w:line="205" w:lineRule="auto"/>
        <w:rPr>
          <w:sz w:val="20"/>
          <w:szCs w:val="20"/>
          <w:color w:val="auto"/>
        </w:rPr>
      </w:pPr>
      <w:r>
        <w:rPr>
          <w:rFonts w:ascii="Calibri" w:cs="Calibri" w:eastAsia="Calibri" w:hAnsi="Calibri"/>
          <w:sz w:val="14"/>
          <w:szCs w:val="14"/>
          <w:color w:val="auto"/>
        </w:rPr>
        <w:t>Note: "Operatonal" comparisons are presented at constant currency rates that refect comparatve local currency net revenues at the prior year's foreign exchange rates.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0820" w:type="dxa"/>
            <w:vAlign w:val="bottom"/>
          </w:tcPr>
          <w:p>
            <w:pPr>
              <w:spacing w:after="0"/>
              <w:rPr>
                <w:sz w:val="20"/>
                <w:szCs w:val="20"/>
                <w:color w:val="auto"/>
              </w:rPr>
            </w:pPr>
            <w:r>
              <w:rPr>
                <w:rFonts w:ascii="Calibri" w:cs="Calibri" w:eastAsia="Calibri" w:hAnsi="Calibri"/>
                <w:sz w:val="18"/>
                <w:szCs w:val="18"/>
                <w:color w:val="auto"/>
                <w:vertAlign w:val="superscript"/>
              </w:rPr>
              <w:t>1</w:t>
            </w:r>
            <w:r>
              <w:rPr>
                <w:rFonts w:ascii="Calibri" w:cs="Calibri" w:eastAsia="Calibri" w:hAnsi="Calibri"/>
                <w:sz w:val="14"/>
                <w:szCs w:val="14"/>
                <w:color w:val="auto"/>
              </w:rPr>
              <w:t>Beginning in the frst quarter 2022, AbbVie includes the impact of upfront and milestone payments related to collaboratons, licensing agreements and other asset acquisitons in its</w:t>
            </w:r>
          </w:p>
        </w:tc>
        <w:tc>
          <w:tcPr>
            <w:tcW w:w="38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193"/>
        </w:trPr>
        <w:tc>
          <w:tcPr>
            <w:tcW w:w="10820" w:type="dxa"/>
            <w:vAlign w:val="bottom"/>
          </w:tcPr>
          <w:p>
            <w:pPr>
              <w:spacing w:after="0"/>
              <w:rPr>
                <w:sz w:val="20"/>
                <w:szCs w:val="20"/>
                <w:color w:val="auto"/>
              </w:rPr>
            </w:pPr>
            <w:r>
              <w:rPr>
                <w:rFonts w:ascii="Calibri" w:cs="Calibri" w:eastAsia="Calibri" w:hAnsi="Calibri"/>
                <w:sz w:val="14"/>
                <w:szCs w:val="14"/>
                <w:color w:val="auto"/>
              </w:rPr>
              <w:t>reported non-GAAP fnancial measures.</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Fourth-Quarter Results</w:t>
      </w:r>
    </w:p>
    <w:p>
      <w:pPr>
        <w:spacing w:after="0" w:line="130" w:lineRule="exact"/>
        <w:rPr>
          <w:sz w:val="20"/>
          <w:szCs w:val="20"/>
          <w:color w:val="auto"/>
        </w:rPr>
      </w:pPr>
    </w:p>
    <w:p>
      <w:pPr>
        <w:ind w:left="660" w:right="24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Worldwide net revenues were $15.121 billion, an increase of 1.6 percent on a reported basis, or 3.8 percent on an operatonal basis.</w:t>
      </w:r>
    </w:p>
    <w:p>
      <w:pPr>
        <w:spacing w:after="0" w:line="130" w:lineRule="exact"/>
        <w:rPr>
          <w:rFonts w:ascii="Calibri" w:cs="Calibri" w:eastAsia="Calibri" w:hAnsi="Calibri"/>
          <w:sz w:val="20"/>
          <w:szCs w:val="20"/>
          <w:color w:val="auto"/>
        </w:rPr>
      </w:pPr>
    </w:p>
    <w:p>
      <w:pPr>
        <w:ind w:left="660" w:right="10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Global net revenues from the immunology portolio were $7.925 billion, an increase of 17.5 percent on a reported basis, or 19.5 percent on an operatonal basis.</w:t>
      </w:r>
    </w:p>
    <w:p>
      <w:pPr>
        <w:spacing w:after="0" w:line="1" w:lineRule="exact"/>
        <w:rPr>
          <w:rFonts w:ascii="Calibri" w:cs="Calibri" w:eastAsia="Calibri" w:hAnsi="Calibri"/>
          <w:sz w:val="20"/>
          <w:szCs w:val="20"/>
          <w:color w:val="auto"/>
        </w:rPr>
      </w:pPr>
    </w:p>
    <w:p>
      <w:pPr>
        <w:ind w:left="1300" w:right="20" w:hanging="320"/>
        <w:spacing w:after="0" w:line="230"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Humira net revenues of $5.579 billion increased 4.6 percent on a reported, or 6.0 percent on an operatonal basis. U.S. Humira net revenues were $5.006 billion, an increase of 9.9 percent. Internatonally, Humira net revenues were $573 million, a decrease of 26.5 percent on a reported basis, or 16.9 percent on an operatonal basis.</w:t>
      </w:r>
    </w:p>
    <w:p>
      <w:pPr>
        <w:spacing w:after="0" w:line="8" w:lineRule="exact"/>
        <w:rPr>
          <w:rFonts w:ascii="Arial" w:cs="Arial" w:eastAsia="Arial" w:hAnsi="Arial"/>
          <w:sz w:val="20"/>
          <w:szCs w:val="20"/>
          <w:color w:val="auto"/>
        </w:rPr>
      </w:pPr>
    </w:p>
    <w:p>
      <w:pPr>
        <w:ind w:left="1300" w:right="280" w:hanging="320"/>
        <w:spacing w:after="0" w:line="234"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Skyrizi net revenues were $1.576 billion, an increase of 76.1 percent on a reported basis, or 78.9 percent on an operatonal basis.</w:t>
      </w:r>
    </w:p>
    <w:p>
      <w:pPr>
        <w:spacing w:after="0" w:line="1" w:lineRule="exact"/>
        <w:rPr>
          <w:rFonts w:ascii="Arial" w:cs="Arial" w:eastAsia="Arial" w:hAnsi="Arial"/>
          <w:sz w:val="20"/>
          <w:szCs w:val="20"/>
          <w:color w:val="auto"/>
        </w:rPr>
      </w:pPr>
    </w:p>
    <w:p>
      <w:pPr>
        <w:ind w:left="1300" w:right="340" w:hanging="320"/>
        <w:spacing w:after="0" w:line="232"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Rinvoq net revenues were $770 million, an increase of 49.0 percent on a reported basis, or 55.4 percent on an operatonal basis.</w:t>
      </w:r>
    </w:p>
    <w:p>
      <w:pPr>
        <w:spacing w:after="0" w:line="130" w:lineRule="exact"/>
        <w:rPr>
          <w:rFonts w:ascii="Arial" w:cs="Arial" w:eastAsia="Arial" w:hAnsi="Arial"/>
          <w:sz w:val="20"/>
          <w:szCs w:val="20"/>
          <w:color w:val="auto"/>
        </w:rPr>
      </w:pPr>
    </w:p>
    <w:p>
      <w:pPr>
        <w:ind w:left="660" w:right="50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Global net revenues from the hematologic oncology portolio were $1.631 billion, a decrease of 12.9 percent on a reported basis, or 11.2 percent on an operatonal basis.</w:t>
      </w:r>
    </w:p>
    <w:p>
      <w:pPr>
        <w:spacing w:after="0" w:line="8" w:lineRule="exact"/>
        <w:rPr>
          <w:rFonts w:ascii="Calibri" w:cs="Calibri" w:eastAsia="Calibri" w:hAnsi="Calibri"/>
          <w:sz w:val="20"/>
          <w:szCs w:val="20"/>
          <w:color w:val="auto"/>
        </w:rPr>
      </w:pPr>
    </w:p>
    <w:p>
      <w:pPr>
        <w:ind w:left="1300" w:right="300" w:hanging="320"/>
        <w:spacing w:after="0" w:line="234"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Imbruvica net revenues were $1.115 billion, a decrease of 19.5 percent, with U.S. net revenues of $841 million and internatonal proft sharing of $274 million.</w:t>
      </w:r>
    </w:p>
    <w:p>
      <w:pPr>
        <w:spacing w:after="0" w:line="1" w:lineRule="exact"/>
        <w:rPr>
          <w:rFonts w:ascii="Arial" w:cs="Arial" w:eastAsia="Arial" w:hAnsi="Arial"/>
          <w:sz w:val="20"/>
          <w:szCs w:val="20"/>
          <w:color w:val="auto"/>
        </w:rPr>
      </w:pPr>
    </w:p>
    <w:p>
      <w:pPr>
        <w:ind w:left="1300" w:right="220" w:hanging="320"/>
        <w:spacing w:after="0" w:line="232"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Venclexta net revenues were $516 million, an increase of 5.7 percent on a reported basis, or 12.2 percent on an operatonal basis.</w:t>
      </w:r>
    </w:p>
    <w:p>
      <w:pPr>
        <w:spacing w:after="0" w:line="130" w:lineRule="exact"/>
        <w:rPr>
          <w:rFonts w:ascii="Arial" w:cs="Arial" w:eastAsia="Arial" w:hAnsi="Arial"/>
          <w:sz w:val="20"/>
          <w:szCs w:val="20"/>
          <w:color w:val="auto"/>
        </w:rPr>
      </w:pPr>
    </w:p>
    <w:p>
      <w:pPr>
        <w:ind w:left="660" w:right="24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Global net revenues from the neuroscience portolio were $1.710 billion, an increase of 3.4 percent on a reported basis, or 5.1 percent on an operatonal basis.</w:t>
      </w:r>
    </w:p>
    <w:p>
      <w:pPr>
        <w:spacing w:after="0" w:line="8" w:lineRule="exact"/>
        <w:rPr>
          <w:rFonts w:ascii="Calibri" w:cs="Calibri" w:eastAsia="Calibri" w:hAnsi="Calibri"/>
          <w:sz w:val="20"/>
          <w:szCs w:val="20"/>
          <w:color w:val="auto"/>
        </w:rPr>
      </w:pPr>
    </w:p>
    <w:p>
      <w:pPr>
        <w:ind w:left="1300" w:hanging="320"/>
        <w:spacing w:after="0" w:line="228"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Botox Therapeutc net revenues were $728 million, an increase of 8.5 percent on a reported basis, or 10.7 percent on an operatonal basis.</w:t>
      </w:r>
    </w:p>
    <w:p>
      <w:pPr>
        <w:ind w:left="1300" w:hanging="320"/>
        <w:spacing w:after="0" w:line="238" w:lineRule="auto"/>
        <w:tabs>
          <w:tab w:leader="none" w:pos="1300"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Vraylar net revenues were $565 million, an increase of 15.5 percent.</w:t>
      </w:r>
    </w:p>
    <w:p>
      <w:pPr>
        <w:spacing w:after="0" w:line="16"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Ubrelvy net revenues were $197 million, an increase of 7.7 percent.</w:t>
      </w:r>
    </w:p>
    <w:p>
      <w:pPr>
        <w:spacing w:after="0" w:line="130" w:lineRule="exact"/>
        <w:rPr>
          <w:rFonts w:ascii="Arial" w:cs="Arial" w:eastAsia="Arial" w:hAnsi="Arial"/>
          <w:sz w:val="20"/>
          <w:szCs w:val="20"/>
          <w:color w:val="auto"/>
        </w:rPr>
      </w:pPr>
    </w:p>
    <w:p>
      <w:pPr>
        <w:ind w:left="660" w:right="56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Global net revenues from the aesthetcs portolio were $1.287 billion, a decrease of 8.5 percent on a reported basis, or 4.2 percent on an operatonal basis.</w:t>
      </w:r>
    </w:p>
    <w:p>
      <w:pPr>
        <w:spacing w:after="0" w:line="8" w:lineRule="exact"/>
        <w:rPr>
          <w:rFonts w:ascii="Calibri" w:cs="Calibri" w:eastAsia="Calibri" w:hAnsi="Calibri"/>
          <w:sz w:val="20"/>
          <w:szCs w:val="20"/>
          <w:color w:val="auto"/>
        </w:rPr>
      </w:pPr>
    </w:p>
    <w:p>
      <w:pPr>
        <w:ind w:left="1300" w:right="80" w:hanging="320"/>
        <w:spacing w:after="0" w:line="228"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Botox Cosmetc net revenues were $642 million, an increase of 2.6 percent on a reported basis, or 7.1 percent on an operatonal basis.</w:t>
      </w:r>
    </w:p>
    <w:p>
      <w:pPr>
        <w:spacing w:after="0" w:line="8" w:lineRule="exact"/>
        <w:rPr>
          <w:rFonts w:ascii="Arial" w:cs="Arial" w:eastAsia="Arial" w:hAnsi="Arial"/>
          <w:sz w:val="20"/>
          <w:szCs w:val="20"/>
          <w:color w:val="auto"/>
        </w:rPr>
      </w:pPr>
    </w:p>
    <w:p>
      <w:pPr>
        <w:ind w:left="1300" w:right="160" w:hanging="320"/>
        <w:spacing w:after="0" w:line="234" w:lineRule="auto"/>
        <w:tabs>
          <w:tab w:leader="none" w:pos="1303" w:val="left"/>
        </w:tabs>
        <w:numPr>
          <w:ilvl w:val="1"/>
          <w:numId w:val="3"/>
        </w:numPr>
        <w:rPr>
          <w:rFonts w:ascii="Arial" w:cs="Arial" w:eastAsia="Arial" w:hAnsi="Arial"/>
          <w:sz w:val="20"/>
          <w:szCs w:val="20"/>
          <w:color w:val="auto"/>
        </w:rPr>
      </w:pPr>
      <w:r>
        <w:rPr>
          <w:rFonts w:ascii="Calibri" w:cs="Calibri" w:eastAsia="Calibri" w:hAnsi="Calibri"/>
          <w:sz w:val="20"/>
          <w:szCs w:val="20"/>
          <w:color w:val="auto"/>
        </w:rPr>
        <w:t>Global Juvederm net revenues were $322 million, a decrease of 25.4 percent on a reported basis, or 19.0 percent on an operatonal basis.</w:t>
      </w:r>
    </w:p>
    <w:p>
      <w:pPr>
        <w:spacing w:after="0" w:line="117" w:lineRule="exact"/>
        <w:rPr>
          <w:rFonts w:ascii="Arial" w:cs="Arial" w:eastAsia="Arial" w:hAnsi="Arial"/>
          <w:sz w:val="20"/>
          <w:szCs w:val="20"/>
          <w:color w:val="auto"/>
        </w:rPr>
      </w:pPr>
    </w:p>
    <w:p>
      <w:pPr>
        <w:ind w:left="660" w:right="72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On a GAAP basis, the gross margin rato in the fourth quarter was 72.4 percent. The adjusted gross margin rato was 86.0 percent.</w:t>
      </w:r>
    </w:p>
    <w:p>
      <w:pPr>
        <w:spacing w:after="0" w:line="131" w:lineRule="exact"/>
        <w:rPr>
          <w:rFonts w:ascii="Calibri" w:cs="Calibri" w:eastAsia="Calibri" w:hAnsi="Calibri"/>
          <w:sz w:val="20"/>
          <w:szCs w:val="20"/>
          <w:color w:val="auto"/>
        </w:rPr>
      </w:pPr>
    </w:p>
    <w:p>
      <w:pPr>
        <w:ind w:left="660" w:right="52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On a GAAP basis, selling, general and administratve (SG&amp;A) expense was 22.6 percent of net revenues. The adjusted SG&amp;A expense was 20.8 percent of net revenues.</w:t>
      </w:r>
    </w:p>
    <w:p>
      <w:pPr>
        <w:spacing w:after="0" w:line="117" w:lineRule="exact"/>
        <w:rPr>
          <w:rFonts w:ascii="Calibri" w:cs="Calibri" w:eastAsia="Calibri" w:hAnsi="Calibri"/>
          <w:sz w:val="20"/>
          <w:szCs w:val="20"/>
          <w:color w:val="auto"/>
        </w:rPr>
      </w:pPr>
    </w:p>
    <w:p>
      <w:pPr>
        <w:ind w:left="660" w:right="24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On a GAAP basis, research and development (R&amp;D) expense was 11.8 percent of net revenues. The adjusted R&amp;D expense was 11.5 percent of net revenues, refectng funding actons supportng all stages of our pipeline.</w:t>
      </w:r>
    </w:p>
    <w:p>
      <w:pPr>
        <w:spacing w:after="0" w:line="121"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Acquired IPR&amp;D and milestones expense was 1.6 percent of net revenues.</w:t>
      </w:r>
    </w:p>
    <w:p>
      <w:pPr>
        <w:spacing w:after="0" w:line="120"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On a GAAP basis, the operatng margin in the fourth quarter was 36.4 percent. The adjusted operatng margin was 52.1 percent.</w:t>
      </w:r>
    </w:p>
    <w:p>
      <w:pPr>
        <w:spacing w:after="0" w:line="120"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interest expense was $476 million.</w:t>
      </w:r>
    </w:p>
    <w:p>
      <w:pPr>
        <w:spacing w:after="0" w:line="120"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On a GAAP basis, the tax rate in the quarter was 16.6 percent. The adjusted tax rate was 13.4 percent.</w:t>
      </w:r>
    </w:p>
    <w:p>
      <w:pPr>
        <w:spacing w:after="0" w:line="130" w:lineRule="exact"/>
        <w:rPr>
          <w:rFonts w:ascii="Calibri" w:cs="Calibri" w:eastAsia="Calibri" w:hAnsi="Calibri"/>
          <w:sz w:val="20"/>
          <w:szCs w:val="20"/>
          <w:color w:val="auto"/>
        </w:rPr>
      </w:pPr>
    </w:p>
    <w:p>
      <w:pPr>
        <w:ind w:left="660" w:right="22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Diluted EPS in the fourth quarter was $1.38 on a GAAP basis. Adjusted diluted EPS, excluding specifed items, was $3.60. These results include an unfavorable impact of $0.13 per share related to acquired IPR&amp;D and milestones expense.</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0480" w:type="dxa"/>
            <w:vAlign w:val="bottom"/>
          </w:tcPr>
          <w:p>
            <w:pPr>
              <w:spacing w:after="0"/>
              <w:rPr>
                <w:sz w:val="20"/>
                <w:szCs w:val="20"/>
                <w:color w:val="auto"/>
              </w:rPr>
            </w:pPr>
            <w:r>
              <w:rPr>
                <w:rFonts w:ascii="Calibri" w:cs="Calibri" w:eastAsia="Calibri" w:hAnsi="Calibri"/>
                <w:sz w:val="14"/>
                <w:szCs w:val="14"/>
                <w:color w:val="auto"/>
              </w:rPr>
              <w:t>Note: "Operatonal" comparisons are presented at constant currency rates that refect comparatve local currency net revenues at the prior year's foreign exchange rates.</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2</w:t>
            </w:r>
          </w:p>
        </w:tc>
      </w:tr>
    </w:tbl>
    <w:p>
      <w:pPr>
        <w:sectPr>
          <w:pgSz w:w="11900" w:h="16838" w:orient="portrait"/>
          <w:cols w:equalWidth="0" w:num="1">
            <w:col w:w="11240"/>
          </w:cols>
          <w:pgMar w:left="320" w:top="1118" w:right="33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Recent Events</w:t>
      </w:r>
    </w:p>
    <w:p>
      <w:pPr>
        <w:spacing w:after="0" w:line="225" w:lineRule="exact"/>
        <w:rPr>
          <w:sz w:val="20"/>
          <w:szCs w:val="20"/>
          <w:color w:val="auto"/>
        </w:rPr>
      </w:pPr>
    </w:p>
    <w:p>
      <w:pPr>
        <w:ind w:left="660" w:right="140" w:hanging="328"/>
        <w:spacing w:after="0" w:line="220"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AbbVie announced the European Commission (EC) approved Skyrizi (risankizumab, 600 mg intravenous inducton and 360 mg subcutaneous maintenance therapy) as the frst specifc interleukin-23 (IL-23) inhibitor for the treatment of adults with moderately to severely actve Crohn's disease (CD) who have had inadequate response, lost response or were intolerant to conventonal or biologic therapy. The approval is supported by results from three Phase 3 studies in which Skyrizi demonstrated signifcant improvement in clinical remission and endoscopic response, compared to placebo, as both inducton and maintenance therapy. This approval marks the third indicaton for Skyrizi in the European Union (EU). Skyrizi is part of a collaboraton between Boehringer Ingelheim and AbbVie, with AbbVie leading development and commercializaton globally.</w:t>
      </w:r>
    </w:p>
    <w:p>
      <w:pPr>
        <w:spacing w:after="0" w:line="228" w:lineRule="exact"/>
        <w:rPr>
          <w:rFonts w:ascii="Calibri" w:cs="Calibri" w:eastAsia="Calibri" w:hAnsi="Calibri"/>
          <w:sz w:val="20"/>
          <w:szCs w:val="20"/>
          <w:color w:val="auto"/>
        </w:rPr>
      </w:pPr>
    </w:p>
    <w:p>
      <w:pPr>
        <w:ind w:left="660" w:right="80" w:hanging="328"/>
        <w:spacing w:after="0" w:line="220"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At the American College of Rheumatology’s (ACR) annual meetng, AbbVie shared 36 abstracts that underscore AbbVie’s commitment to advancing research to help more people living with rheumatc diseases. Analyses presented showcased data from the clinical trial programs evaluatng Rinvoq (upadacitnib) for the treatment of rheumatoid arthrits (RA), psoriatc arthrits (PsA) and axial spondyloarthrits (AS) as well as data evaluatng Skyrizi for the treatment of psoriasis (PsO) and PsA.</w:t>
      </w:r>
    </w:p>
    <w:p>
      <w:pPr>
        <w:spacing w:after="0" w:line="238" w:lineRule="exact"/>
        <w:rPr>
          <w:rFonts w:ascii="Calibri" w:cs="Calibri" w:eastAsia="Calibri" w:hAnsi="Calibri"/>
          <w:sz w:val="20"/>
          <w:szCs w:val="20"/>
          <w:color w:val="auto"/>
        </w:rPr>
      </w:pPr>
    </w:p>
    <w:p>
      <w:pPr>
        <w:ind w:left="660" w:right="40" w:hanging="328"/>
        <w:spacing w:after="0" w:line="218"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AbbVie announced that the U.S. Food and Drug Administraton (FDA) accepted, for priority review, the Biologics License Applicaton (BLA) for epcoritamab, an investgatonal subcutaneous bispecifc antbody for the treatment of adult patents with relapsed/refractory (r/r) large B-cell lymphoma (LBCL). Additonally, AbbVie announced the European Medicines Agency (EMA) validated AbbVie’s Marketng Authorizaton Applicaton (MAA) for epcoritamab for the treatment of adult patents with r/r difuse LBCL. Both applicatons are supported by data from the EPCORE NHL-1 Phase 2 trial evaluatng the safety and preliminary efcacy of subcutaneous epcoritamab in adult patents with relapsed, progressive or refractory CD20+ mature B-cell non-Hodgkin's lymphoma (NHL). Epcoritamab is being co-developed by Genmab and AbbVie.</w:t>
      </w:r>
    </w:p>
    <w:p>
      <w:pPr>
        <w:spacing w:after="0" w:line="243" w:lineRule="exact"/>
        <w:rPr>
          <w:rFonts w:ascii="Calibri" w:cs="Calibri" w:eastAsia="Calibri" w:hAnsi="Calibri"/>
          <w:sz w:val="20"/>
          <w:szCs w:val="20"/>
          <w:color w:val="auto"/>
        </w:rPr>
      </w:pPr>
    </w:p>
    <w:p>
      <w:pPr>
        <w:ind w:left="660" w:right="200" w:hanging="328"/>
        <w:spacing w:after="0"/>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At the American Society of Hematology (ASH) Annual Meetng, AbbVie presented results from nearly 65 abstracts, including 15 oral presentatons, across eight types of cancer. Highlights included four oral presentatons evaluatng investgatonal epcoritamab for the treatment of r/r follicular lymphoma (FL), previously untreated FL, r/r difuse LBCL as well as Richter’s syndrome; data from cohort three of the Phase 2 REFINE study evaluatng navitoclax in combinaton with ruxolitnib in JAK inhibitor-naïve patents with myelofbrosis (MF); data from the Phase 2 CAPTIVATE and Phase 3 GLOW studies evaluatng fxed-duraton treatment in patents with chronic lymphocytc leukemia (CLL)/small lymphocytc leukemia (SLL) who received the Imbruvica (ibrutnib) + Venclexta (venetoclax) combinaton regimen. AbbVie also presented multple abstracts evaluatng Venclexta in approved CLL and acute myeloid leukemia (AML) indicatons and the investgatonal multple myeloma (MM) indicaton. Imbruvica is jointly developed and commercialized with Janssen Biotech, Inc. Venetoclax is being developed by AbbVie and Roche and is jointly commercialized by AbbVie and Genentech, a member of the Roche Group, in the U.S. and by AbbVie outside of the U.S.</w:t>
      </w:r>
    </w:p>
    <w:p>
      <w:pPr>
        <w:spacing w:after="0" w:line="231" w:lineRule="exact"/>
        <w:rPr>
          <w:rFonts w:ascii="Calibri" w:cs="Calibri" w:eastAsia="Calibri" w:hAnsi="Calibri"/>
          <w:sz w:val="20"/>
          <w:szCs w:val="20"/>
          <w:color w:val="auto"/>
        </w:rPr>
      </w:pPr>
    </w:p>
    <w:p>
      <w:pPr>
        <w:ind w:left="660" w:right="120" w:hanging="328"/>
        <w:spacing w:after="0" w:line="221"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AbbVie announced that the FDA approved Vraylar (cariprazine) as an adjunctve therapy to antdepressants for the treatment of major depressive disorder (MDD) in adults. The approval marks the fourth indicaton for Vraylar, which is now the frst and only dopamine and serotonin partal agonist FDA-approved for the most common forms of depression – as an adjunctve treatment for MDD and the treatment of depressive episodes associated with bipolar I disorder. The approval is supported by clinical data demonstratng the efcacy and well-established tolerability of Vraylar as an adjunctve treatment for MDD with an antdepressant therapy. Vraylar is being co-developed by AbbVie and Gedeon Richter Plc.</w:t>
      </w:r>
    </w:p>
    <w:p>
      <w:pPr>
        <w:spacing w:after="0" w:line="230" w:lineRule="exact"/>
        <w:rPr>
          <w:rFonts w:ascii="Calibri" w:cs="Calibri" w:eastAsia="Calibri" w:hAnsi="Calibri"/>
          <w:sz w:val="20"/>
          <w:szCs w:val="20"/>
          <w:color w:val="auto"/>
        </w:rPr>
      </w:pPr>
    </w:p>
    <w:p>
      <w:pPr>
        <w:ind w:left="660" w:right="20" w:hanging="328"/>
        <w:spacing w:after="0" w:line="221"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At the European Headache Federaton Congress (EHC) 2022, AbbVie shared 15 abstracts which underscore its commitment to people living with migraine. Presentatons highlighted late-breaking data from the Chronic Migraine Epidemiology and Outcomes - Internatonal (CaMEO-I) study, evaluatng the frequency and burden of neck pain with headache among people with and without migraine, as well as results from the Phase 3 PROGRESS trial evaluatng Qulipta (atogepant) for the preventve treatment of chronic migraine (CM) in patents living in Europe.</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875"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color w:val="auto"/>
        </w:rPr>
        <w:t>Recent Events (Contnued)</w:t>
      </w:r>
    </w:p>
    <w:p>
      <w:pPr>
        <w:spacing w:after="0" w:line="225" w:lineRule="exact"/>
        <w:rPr>
          <w:sz w:val="20"/>
          <w:szCs w:val="20"/>
          <w:color w:val="auto"/>
        </w:rPr>
      </w:pPr>
    </w:p>
    <w:p>
      <w:pPr>
        <w:ind w:left="660" w:hanging="328"/>
        <w:spacing w:after="0" w:line="221"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AbbVie announced new results from its exploratory NOVA phase 2 dose-ranging study evaluatng the efcacy and safety of AGN-151607, a novel investgatonal neurotoxin for the preventon of postoperatve atrial fbrillaton (POAF) in cardiac surgery patents, at the American Heart Associaton Scientfc Sessions meetng. The study’s primary endpoint was not met for the modifed intent-to-treat (mITT) populaton; however, the data showed relatve risk reducton in specifc study populatons such as coronary artery bypass graf (CABG) patents and patents aged 65 years and older, as well as overall lower rates of rehospitalizaton within 30 days compared to placebo. Adverse Events (AEs) were numerically similar across all treatment groups.</w:t>
      </w:r>
    </w:p>
    <w:p>
      <w:pPr>
        <w:spacing w:after="0" w:line="230" w:lineRule="exact"/>
        <w:rPr>
          <w:rFonts w:ascii="Calibri" w:cs="Calibri" w:eastAsia="Calibri" w:hAnsi="Calibri"/>
          <w:sz w:val="20"/>
          <w:szCs w:val="20"/>
          <w:color w:val="auto"/>
        </w:rPr>
      </w:pPr>
    </w:p>
    <w:p>
      <w:pPr>
        <w:ind w:left="660" w:right="100" w:hanging="328"/>
        <w:spacing w:after="0" w:line="220"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AbbVie and HotSpot Therapeutcs, Inc., a biotechnology company pioneering the discovery and development of small molecule allosteric therapies for the treatment of cancer and autoimmune diseases, announced an exclusive worldwide collaboraton and opton to license agreement for HotSpot's discovery-stage interferon regulatory factor 5 (IRF5) inhibitor program for the potental treatment of autoimmune diseases.</w:t>
      </w:r>
    </w:p>
    <w:p>
      <w:pPr>
        <w:spacing w:after="0" w:line="238" w:lineRule="exact"/>
        <w:rPr>
          <w:rFonts w:ascii="Calibri" w:cs="Calibri" w:eastAsia="Calibri" w:hAnsi="Calibri"/>
          <w:sz w:val="20"/>
          <w:szCs w:val="20"/>
          <w:color w:val="auto"/>
        </w:rPr>
      </w:pPr>
    </w:p>
    <w:p>
      <w:pPr>
        <w:ind w:left="660" w:right="160" w:hanging="328"/>
        <w:spacing w:after="0" w:line="218"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AbbVie and Immunome, a clinical-stage biopharmaceutcal company that utlizes its human memory B cell platorm to discover and develop frst-in-class antbody therapeutcs, announced a worldwide collaboraton and opton agreement directed to the discovery of up to 10 novel antbody-target pairs arising from three specifed tumor types using Immunome's Discovery Engine.</w:t>
      </w:r>
    </w:p>
    <w:p>
      <w:pPr>
        <w:spacing w:after="0" w:line="239" w:lineRule="exact"/>
        <w:rPr>
          <w:rFonts w:ascii="Calibri" w:cs="Calibri" w:eastAsia="Calibri" w:hAnsi="Calibri"/>
          <w:sz w:val="20"/>
          <w:szCs w:val="20"/>
          <w:color w:val="auto"/>
        </w:rPr>
      </w:pPr>
    </w:p>
    <w:p>
      <w:pPr>
        <w:ind w:left="660" w:right="520" w:hanging="328"/>
        <w:spacing w:after="0" w:line="220"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AbbVie and Anima Biotech, announced a collaboraton to discover and develop mRNA biology modulators for three targets across Immunology and Oncology. Anima will use its mRNA Lightning platorm to discover novel mRNA biology modulators against the collaboraton targets providing AbbVie exclusive rights to license and further develop and commercialize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861" w:right="33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color w:val="auto"/>
        </w:rPr>
        <w:t>Full-Year 2023 Outlook</w:t>
      </w:r>
    </w:p>
    <w:p>
      <w:pPr>
        <w:spacing w:after="0" w:line="198" w:lineRule="exact"/>
        <w:rPr>
          <w:sz w:val="20"/>
          <w:szCs w:val="20"/>
          <w:color w:val="auto"/>
        </w:rPr>
      </w:pPr>
    </w:p>
    <w:p>
      <w:pPr>
        <w:ind w:right="180"/>
        <w:spacing w:after="0" w:line="231" w:lineRule="auto"/>
        <w:rPr>
          <w:sz w:val="20"/>
          <w:szCs w:val="20"/>
          <w:color w:val="auto"/>
        </w:rPr>
      </w:pPr>
      <w:r>
        <w:rPr>
          <w:rFonts w:ascii="Calibri" w:cs="Calibri" w:eastAsia="Calibri" w:hAnsi="Calibri"/>
          <w:sz w:val="20"/>
          <w:szCs w:val="20"/>
          <w:color w:val="auto"/>
        </w:rPr>
        <w:t>AbbVie is issuing its adjusted diluted EPS guidance for the full-year 2023 of $10.70 to $11.10. The company's 2023 adjusted diluted EPS guidance excludes any impact from acquired IPR&amp;D and milestones that may be incurred during 2023, as both cannot be reliably forecasted.</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AbbVie</w:t>
      </w:r>
    </w:p>
    <w:p>
      <w:pPr>
        <w:spacing w:after="0" w:line="198" w:lineRule="exact"/>
        <w:rPr>
          <w:sz w:val="20"/>
          <w:szCs w:val="20"/>
          <w:color w:val="auto"/>
        </w:rPr>
      </w:pPr>
    </w:p>
    <w:p>
      <w:pPr>
        <w:ind w:right="420"/>
        <w:spacing w:after="0" w:line="233" w:lineRule="auto"/>
        <w:rPr>
          <w:sz w:val="20"/>
          <w:szCs w:val="20"/>
          <w:color w:val="auto"/>
        </w:rPr>
      </w:pPr>
      <w:r>
        <w:rPr>
          <w:rFonts w:ascii="Calibri" w:cs="Calibri" w:eastAsia="Calibri" w:hAnsi="Calibri"/>
          <w:sz w:val="20"/>
          <w:szCs w:val="20"/>
          <w:color w:val="auto"/>
        </w:rPr>
        <w:t xml:space="preserve">AbbVie's mission is to discover and deliver innovatve medicines that solve serious health issues today and address the medical challenges of tomorrow. We strive to have a remarkable impact on people's lives across several key therapeutc areas: immunology, oncology, neuroscience, eye care, virology, and gastroenterology, in additon to products and services across our Allergan Aesthetcs portolio. For more informaton about AbbVie, please visit us at </w:t>
      </w:r>
      <w:r>
        <w:rPr>
          <w:rFonts w:ascii="Calibri" w:cs="Calibri" w:eastAsia="Calibri" w:hAnsi="Calibri"/>
          <w:sz w:val="20"/>
          <w:szCs w:val="20"/>
          <w:u w:val="single" w:color="auto"/>
          <w:color w:val="0000FF"/>
        </w:rPr>
        <w:t>www.abbvie.com</w:t>
      </w:r>
      <w:r>
        <w:rPr>
          <w:rFonts w:ascii="Calibri" w:cs="Calibri" w:eastAsia="Calibri" w:hAnsi="Calibri"/>
          <w:sz w:val="20"/>
          <w:szCs w:val="20"/>
          <w:color w:val="auto"/>
        </w:rPr>
        <w:t xml:space="preserve">. Follow </w:t>
      </w:r>
      <w:r>
        <w:rPr>
          <w:rFonts w:ascii="Calibri" w:cs="Calibri" w:eastAsia="Calibri" w:hAnsi="Calibri"/>
          <w:sz w:val="20"/>
          <w:szCs w:val="20"/>
          <w:u w:val="single" w:color="auto"/>
          <w:color w:val="0000FF"/>
        </w:rPr>
        <w:t>@abbvie</w:t>
      </w:r>
      <w:r>
        <w:rPr>
          <w:rFonts w:ascii="Calibri" w:cs="Calibri" w:eastAsia="Calibri" w:hAnsi="Calibri"/>
          <w:sz w:val="20"/>
          <w:szCs w:val="20"/>
          <w:color w:val="auto"/>
        </w:rPr>
        <w:t xml:space="preserve"> on Twiter, </w:t>
      </w:r>
      <w:r>
        <w:rPr>
          <w:rFonts w:ascii="Calibri" w:cs="Calibri" w:eastAsia="Calibri" w:hAnsi="Calibri"/>
          <w:sz w:val="20"/>
          <w:szCs w:val="20"/>
          <w:u w:val="single" w:color="auto"/>
          <w:color w:val="0000FF"/>
        </w:rPr>
        <w:t>Facebook</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0000FF"/>
        </w:rPr>
        <w:t>LinkedIn</w:t>
      </w:r>
      <w:r>
        <w:rPr>
          <w:rFonts w:ascii="Calibri" w:cs="Calibri" w:eastAsia="Calibri" w:hAnsi="Calibri"/>
          <w:sz w:val="20"/>
          <w:szCs w:val="20"/>
          <w:color w:val="auto"/>
        </w:rPr>
        <w:t>.</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98"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color w:val="auto"/>
        </w:rPr>
        <w:t xml:space="preserve">AbbVie will host an investor conference call today at 8:00 a.m. Central tme to discuss our fourth-quarter performance. The call will be webcast through AbbVie’s Investor Relatons website at </w:t>
      </w:r>
      <w:r>
        <w:rPr>
          <w:rFonts w:ascii="Calibri" w:cs="Calibri" w:eastAsia="Calibri" w:hAnsi="Calibri"/>
          <w:sz w:val="20"/>
          <w:szCs w:val="20"/>
          <w:u w:val="single" w:color="auto"/>
          <w:color w:val="0000FF"/>
        </w:rPr>
        <w:t>investors.abbvie.com</w:t>
      </w:r>
      <w:r>
        <w:rPr>
          <w:rFonts w:ascii="Calibri" w:cs="Calibri" w:eastAsia="Calibri" w:hAnsi="Calibri"/>
          <w:sz w:val="20"/>
          <w:szCs w:val="20"/>
          <w:color w:val="auto"/>
        </w:rPr>
        <w:t>. An archived editon of the call will be available afer 11:00 a.m. Central tme.</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Financial Results</w:t>
      </w:r>
    </w:p>
    <w:p>
      <w:pPr>
        <w:spacing w:after="0" w:line="198"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Financial results for 2022 and 2021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specifed items presented in the reconciliaton tables later in this release. Beginning in the frst quarter of 2022, the company includes the impact of upfront and milestone payments related to collaboratons, licensing agreements, and other asset acquisitons in its reported non-GAAP fnancial measures. Prior periods have been revised to conform to the current period presentaton. AbbVie’s management believes non-GAAP fnancial measures provide useful informaton to investors regarding AbbVie’s results of operatons and assist management, analysts, and investors in evaluatng the performance of the business. Non-GAAP fnancial measures should be considered in additon to, and not as a substtute for, measures of fnancial performance prepared in accordance with GAAP.</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198" w:lineRule="exact"/>
        <w:rPr>
          <w:sz w:val="20"/>
          <w:szCs w:val="20"/>
          <w:color w:val="auto"/>
        </w:rPr>
      </w:pPr>
    </w:p>
    <w:p>
      <w:pPr>
        <w:ind w:right="180"/>
        <w:spacing w:after="0" w:line="233" w:lineRule="auto"/>
        <w:rPr>
          <w:sz w:val="20"/>
          <w:szCs w:val="20"/>
          <w:color w:val="auto"/>
        </w:rPr>
      </w:pPr>
      <w:r>
        <w:rPr>
          <w:rFonts w:ascii="Calibri" w:cs="Calibri" w:eastAsia="Calibri" w:hAnsi="Calibri"/>
          <w:sz w:val="20"/>
          <w:szCs w:val="20"/>
          <w:color w:val="auto"/>
        </w:rPr>
        <w:t>Some statements in this news release are, or may be considered, forward-looking statements for purposes of the Private Securites Litgaton Reform Act of 1995. The words "believe," "expect," "antcipate," "project" and similar expressions and uses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of AbbVie's 2021 Annual Report on Form 10-K, which has been fled with the Securites and Exchange Commission, as updated by its Quarterly Reports on Form 10-Q and in other documents that AbbVie subsequently fles with the Securites and Exchange Commission that update, supplement or supersede such informaton. AbbVie undertakes no obligaton, and specifcally declines, to release publicly any revisions to forward-looking statements as a result of subsequent events or developments, except as required by law.</w:t>
      </w:r>
    </w:p>
    <w:p>
      <w:pPr>
        <w:spacing w:after="0" w:line="292"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875" w:right="339" w:bottom="1440" w:gutter="0" w:footer="0" w:header="0"/>
        </w:sectPr>
      </w:pPr>
    </w:p>
    <w:bookmarkStart w:id="8" w:name="page9"/>
    <w:bookmarkEnd w:id="8"/>
    <w:p>
      <w:pPr>
        <w:spacing w:after="0" w:line="1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Media: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b w:val="1"/>
          <w:bCs w:val="1"/>
          <w:color w:val="auto"/>
        </w:rPr>
        <w:t>Investors:</w:t>
      </w:r>
    </w:p>
    <w:p>
      <w:pPr>
        <w:spacing w:after="0" w:line="12" w:lineRule="exact"/>
        <w:rPr>
          <w:sz w:val="20"/>
          <w:szCs w:val="20"/>
          <w:color w:val="auto"/>
        </w:rPr>
      </w:pPr>
    </w:p>
    <w:p>
      <w:pPr>
        <w:sectPr>
          <w:pgSz w:w="11900" w:h="16838" w:orient="portrait"/>
          <w:cols w:equalWidth="0" w:num="2">
            <w:col w:w="3460" w:space="720"/>
            <w:col w:w="6980"/>
          </w:cols>
          <w:pgMar w:left="400" w:top="1347" w:right="339" w:bottom="1440" w:gutter="0" w:footer="0" w:header="0"/>
        </w:sectPr>
      </w:pPr>
    </w:p>
    <w:p>
      <w:pPr>
        <w:spacing w:after="0"/>
        <w:rPr>
          <w:sz w:val="20"/>
          <w:szCs w:val="20"/>
          <w:color w:val="auto"/>
        </w:rPr>
      </w:pPr>
      <w:r>
        <w:rPr>
          <w:rFonts w:ascii="Calibri" w:cs="Calibri" w:eastAsia="Calibri" w:hAnsi="Calibri"/>
          <w:sz w:val="20"/>
          <w:szCs w:val="20"/>
          <w:color w:val="auto"/>
        </w:rPr>
        <w:t>Frank Benenat</w:t>
      </w:r>
    </w:p>
    <w:p>
      <w:pPr>
        <w:spacing w:after="0" w:line="22" w:lineRule="exact"/>
        <w:rPr>
          <w:sz w:val="20"/>
          <w:szCs w:val="20"/>
          <w:color w:val="auto"/>
        </w:rPr>
      </w:pPr>
    </w:p>
    <w:p>
      <w:pPr>
        <w:spacing w:after="0"/>
        <w:rPr>
          <w:sz w:val="20"/>
          <w:szCs w:val="20"/>
          <w:color w:val="auto"/>
        </w:rPr>
      </w:pPr>
      <w:r>
        <w:rPr>
          <w:rFonts w:ascii="Calibri" w:cs="Calibri" w:eastAsia="Calibri" w:hAnsi="Calibri"/>
          <w:sz w:val="19"/>
          <w:szCs w:val="19"/>
          <w:color w:val="auto"/>
        </w:rPr>
        <w:t>(224) 668-4169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Liz Shea</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(847) 935-2211</w:t>
      </w:r>
    </w:p>
    <w:p>
      <w:pPr>
        <w:spacing w:after="0" w:line="200" w:lineRule="exact"/>
        <w:rPr>
          <w:sz w:val="20"/>
          <w:szCs w:val="20"/>
          <w:color w:val="auto"/>
        </w:rPr>
      </w:pPr>
    </w:p>
    <w:p>
      <w:pPr>
        <w:sectPr>
          <w:pgSz w:w="11900" w:h="16838" w:orient="portrait"/>
          <w:cols w:equalWidth="0" w:num="2">
            <w:col w:w="3460" w:space="720"/>
            <w:col w:w="6980"/>
          </w:cols>
          <w:pgMar w:left="400" w:top="1347" w:right="339" w:bottom="1440" w:gutter="0" w:footer="0" w:header="0"/>
          <w:type w:val="continuous"/>
        </w:sectPr>
      </w:pPr>
    </w:p>
    <w:p>
      <w:pPr>
        <w:spacing w:after="0" w:line="69" w:lineRule="exact"/>
        <w:rPr>
          <w:sz w:val="20"/>
          <w:szCs w:val="20"/>
          <w:color w:val="auto"/>
        </w:rPr>
      </w:pPr>
    </w:p>
    <w:p>
      <w:pPr>
        <w:ind w:left="4180"/>
        <w:spacing w:after="0"/>
        <w:rPr>
          <w:sz w:val="20"/>
          <w:szCs w:val="20"/>
          <w:color w:val="auto"/>
        </w:rPr>
      </w:pPr>
      <w:r>
        <w:rPr>
          <w:rFonts w:ascii="Calibri" w:cs="Calibri" w:eastAsia="Calibri" w:hAnsi="Calibri"/>
          <w:sz w:val="20"/>
          <w:szCs w:val="20"/>
          <w:color w:val="auto"/>
        </w:rPr>
        <w:t>Todd Bosse</w:t>
      </w:r>
    </w:p>
    <w:p>
      <w:pPr>
        <w:spacing w:after="0" w:line="12" w:lineRule="exact"/>
        <w:rPr>
          <w:sz w:val="20"/>
          <w:szCs w:val="20"/>
          <w:color w:val="auto"/>
        </w:rPr>
      </w:pPr>
    </w:p>
    <w:p>
      <w:pPr>
        <w:ind w:left="4180"/>
        <w:spacing w:after="0"/>
        <w:rPr>
          <w:sz w:val="20"/>
          <w:szCs w:val="20"/>
          <w:color w:val="auto"/>
        </w:rPr>
      </w:pPr>
      <w:r>
        <w:rPr>
          <w:rFonts w:ascii="Calibri" w:cs="Calibri" w:eastAsia="Calibri" w:hAnsi="Calibri"/>
          <w:sz w:val="20"/>
          <w:szCs w:val="20"/>
          <w:color w:val="auto"/>
        </w:rPr>
        <w:t>(847) 936-1182</w:t>
      </w:r>
    </w:p>
    <w:p>
      <w:pPr>
        <w:spacing w:after="0" w:line="269" w:lineRule="exact"/>
        <w:rPr>
          <w:sz w:val="20"/>
          <w:szCs w:val="20"/>
          <w:color w:val="auto"/>
        </w:rPr>
      </w:pPr>
    </w:p>
    <w:p>
      <w:pPr>
        <w:ind w:left="4180"/>
        <w:spacing w:after="0"/>
        <w:rPr>
          <w:sz w:val="20"/>
          <w:szCs w:val="20"/>
          <w:color w:val="auto"/>
        </w:rPr>
      </w:pPr>
      <w:r>
        <w:rPr>
          <w:rFonts w:ascii="Calibri" w:cs="Calibri" w:eastAsia="Calibri" w:hAnsi="Calibri"/>
          <w:sz w:val="20"/>
          <w:szCs w:val="20"/>
          <w:color w:val="auto"/>
        </w:rPr>
        <w:t>Jefrey Byrne</w:t>
      </w:r>
    </w:p>
    <w:p>
      <w:pPr>
        <w:spacing w:after="0" w:line="12" w:lineRule="exact"/>
        <w:rPr>
          <w:sz w:val="20"/>
          <w:szCs w:val="20"/>
          <w:color w:val="auto"/>
        </w:rPr>
      </w:pPr>
    </w:p>
    <w:p>
      <w:pPr>
        <w:ind w:left="4180"/>
        <w:spacing w:after="0"/>
        <w:rPr>
          <w:sz w:val="20"/>
          <w:szCs w:val="20"/>
          <w:color w:val="auto"/>
        </w:rPr>
      </w:pPr>
      <w:r>
        <w:rPr>
          <w:rFonts w:ascii="Calibri" w:cs="Calibri" w:eastAsia="Calibri" w:hAnsi="Calibri"/>
          <w:sz w:val="20"/>
          <w:szCs w:val="20"/>
          <w:color w:val="auto"/>
        </w:rPr>
        <w:t>(847) 938-2923</w:t>
      </w:r>
    </w:p>
    <w:p>
      <w:pPr>
        <w:sectPr>
          <w:pgSz w:w="11900" w:h="16838" w:orient="portrait"/>
          <w:cols w:equalWidth="0" w:num="1">
            <w:col w:w="11160"/>
          </w:cols>
          <w:pgMar w:left="400" w:top="13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6</w:t>
      </w:r>
    </w:p>
    <w:p>
      <w:pPr>
        <w:sectPr>
          <w:pgSz w:w="11900" w:h="16838" w:orient="portrait"/>
          <w:cols w:equalWidth="0" w:num="1">
            <w:col w:w="11160"/>
          </w:cols>
          <w:pgMar w:left="400" w:top="1347" w:right="339" w:bottom="1440" w:gutter="0" w:footer="0" w:header="0"/>
          <w:type w:val="continuous"/>
        </w:sectPr>
      </w:pPr>
    </w:p>
    <w:bookmarkStart w:id="9" w:name="page10"/>
    <w:bookmarkEnd w:id="9"/>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line="231" w:lineRule="auto"/>
        <w:rPr>
          <w:sz w:val="20"/>
          <w:szCs w:val="20"/>
          <w:color w:val="auto"/>
        </w:rPr>
      </w:pPr>
      <w:r>
        <w:rPr>
          <w:rFonts w:ascii="Calibri" w:cs="Calibri" w:eastAsia="Calibri" w:hAnsi="Calibri"/>
          <w:sz w:val="22"/>
          <w:szCs w:val="22"/>
          <w:b w:val="1"/>
          <w:bCs w:val="1"/>
          <w:color w:val="auto"/>
        </w:rPr>
        <w:t>Key Product Revenues</w:t>
      </w:r>
    </w:p>
    <w:p>
      <w:pPr>
        <w:jc w:val="center"/>
        <w:spacing w:after="0" w:line="229" w:lineRule="auto"/>
        <w:rPr>
          <w:sz w:val="20"/>
          <w:szCs w:val="20"/>
          <w:color w:val="auto"/>
        </w:rPr>
      </w:pPr>
      <w:r>
        <w:rPr>
          <w:rFonts w:ascii="Calibri" w:cs="Calibri" w:eastAsia="Calibri" w:hAnsi="Calibri"/>
          <w:sz w:val="22"/>
          <w:szCs w:val="22"/>
          <w:b w:val="1"/>
          <w:bCs w:val="1"/>
          <w:color w:val="auto"/>
        </w:rPr>
        <w:t>Quarter Ended December 31, 2022</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(Unaudited)</w:t>
      </w:r>
    </w:p>
    <w:p>
      <w:pPr>
        <w:spacing w:after="0" w:line="40"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6"/>
          </w:tcPr>
          <w:p>
            <w:pPr>
              <w:jc w:val="center"/>
              <w:spacing w:after="0"/>
              <w:rPr>
                <w:sz w:val="20"/>
                <w:szCs w:val="20"/>
                <w:color w:val="auto"/>
              </w:rPr>
            </w:pPr>
            <w:r>
              <w:rPr>
                <w:rFonts w:ascii="Calibri" w:cs="Calibri" w:eastAsia="Calibri" w:hAnsi="Calibri"/>
                <w:sz w:val="18"/>
                <w:szCs w:val="18"/>
                <w:b w:val="1"/>
                <w:bCs w:val="1"/>
                <w:color w:val="auto"/>
                <w:w w:val="97"/>
              </w:rPr>
              <w:t>% Change vs. 4Q21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80" w:type="dxa"/>
            <w:vAlign w:val="bottom"/>
            <w:gridSpan w:val="9"/>
            <w:vMerge w:val="restart"/>
          </w:tcPr>
          <w:p>
            <w:pPr>
              <w:jc w:val="right"/>
              <w:ind w:right="420"/>
              <w:spacing w:after="0"/>
              <w:rPr>
                <w:sz w:val="20"/>
                <w:szCs w:val="20"/>
                <w:color w:val="auto"/>
              </w:rPr>
            </w:pPr>
            <w:r>
              <w:rPr>
                <w:rFonts w:ascii="Calibri" w:cs="Calibri" w:eastAsia="Calibri" w:hAnsi="Calibri"/>
                <w:sz w:val="18"/>
                <w:szCs w:val="18"/>
                <w:b w:val="1"/>
                <w:bCs w:val="1"/>
                <w:color w:val="auto"/>
              </w:rPr>
              <w:t>Net Revenues (in millions)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9"/>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spacing w:after="0" w:line="215" w:lineRule="exact"/>
              <w:rPr>
                <w:sz w:val="20"/>
                <w:szCs w:val="20"/>
                <w:color w:val="auto"/>
              </w:rPr>
            </w:pPr>
            <w:r>
              <w:rPr>
                <w:rFonts w:ascii="Calibri" w:cs="Calibri" w:eastAsia="Calibri" w:hAnsi="Calibri"/>
                <w:sz w:val="18"/>
                <w:szCs w:val="18"/>
                <w:b w:val="1"/>
                <w:bCs w:val="1"/>
                <w:color w:val="auto"/>
                <w:w w:val="97"/>
              </w:rPr>
              <w:t>Reported</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ind w:left="180"/>
              <w:spacing w:after="0" w:line="223" w:lineRule="exact"/>
              <w:rPr>
                <w:sz w:val="20"/>
                <w:szCs w:val="20"/>
                <w:color w:val="auto"/>
              </w:rPr>
            </w:pPr>
            <w:r>
              <w:rPr>
                <w:rFonts w:ascii="Calibri" w:cs="Calibri" w:eastAsia="Calibri" w:hAnsi="Calibri"/>
                <w:sz w:val="18"/>
                <w:szCs w:val="18"/>
                <w:b w:val="1"/>
                <w:bCs w:val="1"/>
                <w:color w:val="auto"/>
              </w:rPr>
              <w:t>Operatonal</w:t>
            </w:r>
            <w:r>
              <w:rPr>
                <w:rFonts w:ascii="Calibri" w:cs="Calibri" w:eastAsia="Calibri" w:hAnsi="Calibri"/>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line="169" w:lineRule="exact"/>
              <w:rPr>
                <w:sz w:val="20"/>
                <w:szCs w:val="20"/>
                <w:color w:val="auto"/>
              </w:rPr>
            </w:pPr>
            <w:r>
              <w:rPr>
                <w:rFonts w:ascii="Calibri" w:cs="Calibri" w:eastAsia="Calibri" w:hAnsi="Calibri"/>
                <w:sz w:val="18"/>
                <w:szCs w:val="18"/>
                <w:b w:val="1"/>
                <w:bCs w:val="1"/>
                <w:color w:val="auto"/>
                <w:w w:val="93"/>
              </w:rPr>
              <w:t>U.S.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jc w:val="right"/>
              <w:ind w:right="190"/>
              <w:spacing w:after="0" w:line="169" w:lineRule="exact"/>
              <w:rPr>
                <w:sz w:val="20"/>
                <w:szCs w:val="20"/>
                <w:color w:val="auto"/>
              </w:rPr>
            </w:pPr>
            <w:r>
              <w:rPr>
                <w:rFonts w:ascii="Calibri" w:cs="Calibri" w:eastAsia="Calibri" w:hAnsi="Calibri"/>
                <w:sz w:val="18"/>
                <w:szCs w:val="18"/>
                <w:b w:val="1"/>
                <w:bCs w:val="1"/>
                <w:color w:val="auto"/>
              </w:rPr>
              <w:t>Int’l.</w:t>
            </w:r>
          </w:p>
        </w:tc>
        <w:tc>
          <w:tcPr>
            <w:tcW w:w="320" w:type="dxa"/>
            <w:vAlign w:val="bottom"/>
          </w:tcPr>
          <w:p>
            <w:pPr>
              <w:spacing w:after="0"/>
              <w:rPr>
                <w:sz w:val="14"/>
                <w:szCs w:val="14"/>
                <w:color w:val="auto"/>
              </w:rPr>
            </w:pPr>
          </w:p>
        </w:tc>
        <w:tc>
          <w:tcPr>
            <w:tcW w:w="600" w:type="dxa"/>
            <w:vAlign w:val="bottom"/>
            <w:gridSpan w:val="2"/>
          </w:tcPr>
          <w:p>
            <w:pPr>
              <w:jc w:val="right"/>
              <w:ind w:right="240"/>
              <w:spacing w:after="0" w:line="169" w:lineRule="exact"/>
              <w:rPr>
                <w:sz w:val="20"/>
                <w:szCs w:val="20"/>
                <w:color w:val="auto"/>
              </w:rPr>
            </w:pPr>
            <w:r>
              <w:rPr>
                <w:rFonts w:ascii="Calibri" w:cs="Calibri" w:eastAsia="Calibri" w:hAnsi="Calibri"/>
                <w:sz w:val="18"/>
                <w:szCs w:val="18"/>
                <w:b w:val="1"/>
                <w:bCs w:val="1"/>
                <w:color w:val="auto"/>
                <w:w w:val="88"/>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80"/>
              <w:spacing w:after="0" w:line="169" w:lineRule="exact"/>
              <w:rPr>
                <w:sz w:val="20"/>
                <w:szCs w:val="20"/>
                <w:color w:val="auto"/>
              </w:rPr>
            </w:pPr>
            <w:r>
              <w:rPr>
                <w:rFonts w:ascii="Calibri" w:cs="Calibri" w:eastAsia="Calibri" w:hAnsi="Calibri"/>
                <w:sz w:val="18"/>
                <w:szCs w:val="18"/>
                <w:b w:val="1"/>
                <w:bCs w:val="1"/>
                <w:color w:val="auto"/>
              </w:rPr>
              <w:t>U.S.</w:t>
            </w:r>
          </w:p>
        </w:tc>
        <w:tc>
          <w:tcPr>
            <w:tcW w:w="1040" w:type="dxa"/>
            <w:vAlign w:val="bottom"/>
            <w:gridSpan w:val="3"/>
          </w:tcPr>
          <w:p>
            <w:pPr>
              <w:jc w:val="center"/>
              <w:spacing w:after="0" w:line="169" w:lineRule="exact"/>
              <w:rPr>
                <w:sz w:val="20"/>
                <w:szCs w:val="20"/>
                <w:color w:val="auto"/>
              </w:rPr>
            </w:pPr>
            <w:r>
              <w:rPr>
                <w:rFonts w:ascii="Calibri" w:cs="Calibri" w:eastAsia="Calibri" w:hAnsi="Calibri"/>
                <w:sz w:val="18"/>
                <w:szCs w:val="18"/>
                <w:b w:val="1"/>
                <w:bCs w:val="1"/>
                <w:color w:val="auto"/>
                <w:w w:val="98"/>
              </w:rPr>
              <w:t>Int’l.</w:t>
            </w:r>
          </w:p>
        </w:tc>
        <w:tc>
          <w:tcPr>
            <w:tcW w:w="240" w:type="dxa"/>
            <w:vAlign w:val="bottom"/>
          </w:tcPr>
          <w:p>
            <w:pPr>
              <w:spacing w:after="0"/>
              <w:rPr>
                <w:sz w:val="14"/>
                <w:szCs w:val="14"/>
                <w:color w:val="auto"/>
              </w:rPr>
            </w:pPr>
          </w:p>
        </w:tc>
        <w:tc>
          <w:tcPr>
            <w:tcW w:w="600" w:type="dxa"/>
            <w:vAlign w:val="bottom"/>
            <w:gridSpan w:val="2"/>
          </w:tcPr>
          <w:p>
            <w:pPr>
              <w:jc w:val="center"/>
              <w:ind w:right="240"/>
              <w:spacing w:after="0" w:line="169" w:lineRule="exact"/>
              <w:rPr>
                <w:sz w:val="20"/>
                <w:szCs w:val="20"/>
                <w:color w:val="auto"/>
              </w:rPr>
            </w:pPr>
            <w:r>
              <w:rPr>
                <w:rFonts w:ascii="Calibri" w:cs="Calibri" w:eastAsia="Calibri" w:hAnsi="Calibri"/>
                <w:sz w:val="18"/>
                <w:szCs w:val="18"/>
                <w:b w:val="1"/>
                <w:bCs w:val="1"/>
                <w:color w:val="auto"/>
                <w:w w:val="94"/>
              </w:rPr>
              <w:t>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spacing w:after="0" w:line="169" w:lineRule="exact"/>
              <w:rPr>
                <w:sz w:val="20"/>
                <w:szCs w:val="20"/>
                <w:color w:val="auto"/>
              </w:rPr>
            </w:pPr>
            <w:r>
              <w:rPr>
                <w:rFonts w:ascii="Calibri" w:cs="Calibri" w:eastAsia="Calibri" w:hAnsi="Calibri"/>
                <w:sz w:val="18"/>
                <w:szCs w:val="18"/>
                <w:b w:val="1"/>
                <w:bCs w:val="1"/>
                <w:color w:val="auto"/>
              </w:rPr>
              <w:t>Int’l.</w:t>
            </w:r>
          </w:p>
        </w:tc>
        <w:tc>
          <w:tcPr>
            <w:tcW w:w="320" w:type="dxa"/>
            <w:vAlign w:val="bottom"/>
          </w:tcPr>
          <w:p>
            <w:pPr>
              <w:spacing w:after="0"/>
              <w:rPr>
                <w:sz w:val="14"/>
                <w:szCs w:val="14"/>
                <w:color w:val="auto"/>
              </w:rPr>
            </w:pPr>
          </w:p>
        </w:tc>
        <w:tc>
          <w:tcPr>
            <w:tcW w:w="580" w:type="dxa"/>
            <w:vAlign w:val="bottom"/>
            <w:gridSpan w:val="2"/>
          </w:tcPr>
          <w:p>
            <w:pPr>
              <w:spacing w:after="0" w:line="169" w:lineRule="exact"/>
              <w:rPr>
                <w:sz w:val="20"/>
                <w:szCs w:val="20"/>
                <w:color w:val="auto"/>
              </w:rPr>
            </w:pPr>
            <w:r>
              <w:rPr>
                <w:rFonts w:ascii="Calibri" w:cs="Calibri" w:eastAsia="Calibri" w:hAnsi="Calibri"/>
                <w:sz w:val="18"/>
                <w:szCs w:val="18"/>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720" w:type="dxa"/>
            <w:vAlign w:val="bottom"/>
            <w:vMerge w:val="restart"/>
          </w:tcPr>
          <w:p>
            <w:pPr>
              <w:spacing w:after="0"/>
              <w:rPr>
                <w:sz w:val="20"/>
                <w:szCs w:val="20"/>
                <w:color w:val="auto"/>
              </w:rPr>
            </w:pPr>
            <w:r>
              <w:rPr>
                <w:rFonts w:ascii="Calibri" w:cs="Calibri" w:eastAsia="Calibri" w:hAnsi="Calibri"/>
                <w:sz w:val="18"/>
                <w:szCs w:val="18"/>
                <w:b w:val="1"/>
                <w:bCs w:val="1"/>
                <w:color w:val="auto"/>
              </w:rPr>
              <w:t>NET REVENUES</w:t>
            </w:r>
          </w:p>
        </w:tc>
        <w:tc>
          <w:tcPr>
            <w:tcW w:w="880" w:type="dxa"/>
            <w:vAlign w:val="bottom"/>
            <w:gridSpan w:val="3"/>
            <w:vMerge w:val="restart"/>
          </w:tcPr>
          <w:p>
            <w:pPr>
              <w:jc w:val="right"/>
              <w:ind w:right="100"/>
              <w:spacing w:after="0"/>
              <w:rPr>
                <w:sz w:val="20"/>
                <w:szCs w:val="20"/>
                <w:color w:val="auto"/>
              </w:rPr>
            </w:pPr>
            <w:r>
              <w:rPr>
                <w:rFonts w:ascii="Calibri" w:cs="Calibri" w:eastAsia="Calibri" w:hAnsi="Calibri"/>
                <w:sz w:val="18"/>
                <w:szCs w:val="18"/>
                <w:b w:val="1"/>
                <w:bCs w:val="1"/>
                <w:color w:val="auto"/>
              </w:rPr>
              <w:t>$  12,192</w:t>
            </w:r>
          </w:p>
        </w:tc>
        <w:tc>
          <w:tcPr>
            <w:tcW w:w="26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w:t>
            </w:r>
          </w:p>
        </w:tc>
        <w:tc>
          <w:tcPr>
            <w:tcW w:w="700" w:type="dxa"/>
            <w:vAlign w:val="bottom"/>
            <w:gridSpan w:val="3"/>
            <w:vMerge w:val="restart"/>
          </w:tcPr>
          <w:p>
            <w:pPr>
              <w:jc w:val="right"/>
              <w:ind w:right="10"/>
              <w:spacing w:after="0"/>
              <w:rPr>
                <w:sz w:val="20"/>
                <w:szCs w:val="20"/>
                <w:color w:val="auto"/>
              </w:rPr>
            </w:pPr>
            <w:r>
              <w:rPr>
                <w:rFonts w:ascii="Calibri" w:cs="Calibri" w:eastAsia="Calibri" w:hAnsi="Calibri"/>
                <w:sz w:val="18"/>
                <w:szCs w:val="18"/>
                <w:b w:val="1"/>
                <w:bCs w:val="1"/>
                <w:color w:val="auto"/>
              </w:rPr>
              <w:t>2,929</w:t>
            </w:r>
          </w:p>
        </w:tc>
        <w:tc>
          <w:tcPr>
            <w:tcW w:w="920" w:type="dxa"/>
            <w:vAlign w:val="bottom"/>
            <w:gridSpan w:val="3"/>
            <w:vMerge w:val="restart"/>
          </w:tcPr>
          <w:p>
            <w:pPr>
              <w:jc w:val="right"/>
              <w:ind w:right="60"/>
              <w:spacing w:after="0"/>
              <w:rPr>
                <w:sz w:val="20"/>
                <w:szCs w:val="20"/>
                <w:color w:val="auto"/>
              </w:rPr>
            </w:pPr>
            <w:r>
              <w:rPr>
                <w:rFonts w:ascii="Calibri" w:cs="Calibri" w:eastAsia="Calibri" w:hAnsi="Calibri"/>
                <w:sz w:val="18"/>
                <w:szCs w:val="18"/>
                <w:b w:val="1"/>
                <w:bCs w:val="1"/>
                <w:color w:val="auto"/>
              </w:rPr>
              <w:t>$  15,121</w:t>
            </w:r>
          </w:p>
        </w:tc>
        <w:tc>
          <w:tcPr>
            <w:tcW w:w="20" w:type="dxa"/>
            <w:vAlign w:val="bottom"/>
          </w:tcPr>
          <w:p>
            <w:pPr>
              <w:spacing w:after="0"/>
              <w:rPr>
                <w:sz w:val="2"/>
                <w:szCs w:val="2"/>
                <w:color w:val="auto"/>
              </w:rPr>
            </w:pPr>
          </w:p>
        </w:tc>
        <w:tc>
          <w:tcPr>
            <w:tcW w:w="940" w:type="dxa"/>
            <w:vAlign w:val="bottom"/>
            <w:gridSpan w:val="4"/>
            <w:vMerge w:val="restart"/>
          </w:tcPr>
          <w:p>
            <w:pPr>
              <w:jc w:val="center"/>
              <w:ind w:left="10"/>
              <w:spacing w:after="0"/>
              <w:rPr>
                <w:sz w:val="20"/>
                <w:szCs w:val="20"/>
                <w:color w:val="auto"/>
              </w:rPr>
            </w:pPr>
            <w:r>
              <w:rPr>
                <w:rFonts w:ascii="Calibri" w:cs="Calibri" w:eastAsia="Calibri" w:hAnsi="Calibri"/>
                <w:sz w:val="18"/>
                <w:szCs w:val="18"/>
                <w:b w:val="1"/>
                <w:bCs w:val="1"/>
                <w:color w:val="auto"/>
                <w:w w:val="99"/>
              </w:rPr>
              <w:t>4.4%</w:t>
            </w:r>
          </w:p>
        </w:tc>
        <w:tc>
          <w:tcPr>
            <w:tcW w:w="1040" w:type="dxa"/>
            <w:vAlign w:val="bottom"/>
            <w:gridSpan w:val="3"/>
            <w:vMerge w:val="restart"/>
          </w:tcPr>
          <w:p>
            <w:pPr>
              <w:jc w:val="center"/>
              <w:spacing w:after="0"/>
              <w:rPr>
                <w:sz w:val="20"/>
                <w:szCs w:val="20"/>
                <w:color w:val="auto"/>
              </w:rPr>
            </w:pPr>
            <w:r>
              <w:rPr>
                <w:rFonts w:ascii="Calibri" w:cs="Calibri" w:eastAsia="Calibri" w:hAnsi="Calibri"/>
                <w:sz w:val="18"/>
                <w:szCs w:val="18"/>
                <w:b w:val="1"/>
                <w:bCs w:val="1"/>
                <w:color w:val="auto"/>
              </w:rPr>
              <w:t>(8.7)%</w:t>
            </w:r>
          </w:p>
        </w:tc>
        <w:tc>
          <w:tcPr>
            <w:tcW w:w="840" w:type="dxa"/>
            <w:vAlign w:val="bottom"/>
            <w:gridSpan w:val="3"/>
            <w:vMerge w:val="restart"/>
          </w:tcPr>
          <w:p>
            <w:pPr>
              <w:jc w:val="center"/>
              <w:spacing w:after="0"/>
              <w:rPr>
                <w:sz w:val="20"/>
                <w:szCs w:val="20"/>
                <w:color w:val="auto"/>
              </w:rPr>
            </w:pPr>
            <w:r>
              <w:rPr>
                <w:rFonts w:ascii="Calibri" w:cs="Calibri" w:eastAsia="Calibri" w:hAnsi="Calibri"/>
                <w:sz w:val="18"/>
                <w:szCs w:val="18"/>
                <w:b w:val="1"/>
                <w:bCs w:val="1"/>
                <w:color w:val="auto"/>
                <w:w w:val="99"/>
              </w:rPr>
              <w:t>1.6%</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3"/>
            <w:vMerge w:val="restart"/>
          </w:tcPr>
          <w:p>
            <w:pPr>
              <w:jc w:val="center"/>
              <w:ind w:right="200"/>
              <w:spacing w:after="0"/>
              <w:rPr>
                <w:sz w:val="20"/>
                <w:szCs w:val="20"/>
                <w:color w:val="auto"/>
              </w:rPr>
            </w:pPr>
            <w:r>
              <w:rPr>
                <w:rFonts w:ascii="Calibri" w:cs="Calibri" w:eastAsia="Calibri" w:hAnsi="Calibri"/>
                <w:sz w:val="18"/>
                <w:szCs w:val="18"/>
                <w:b w:val="1"/>
                <w:bCs w:val="1"/>
                <w:color w:val="auto"/>
                <w:w w:val="99"/>
              </w:rPr>
              <w:t>1.8%</w:t>
            </w:r>
          </w:p>
        </w:tc>
        <w:tc>
          <w:tcPr>
            <w:tcW w:w="900" w:type="dxa"/>
            <w:vAlign w:val="bottom"/>
            <w:gridSpan w:val="3"/>
            <w:vMerge w:val="restart"/>
          </w:tcPr>
          <w:p>
            <w:pPr>
              <w:jc w:val="center"/>
              <w:spacing w:after="0"/>
              <w:rPr>
                <w:sz w:val="20"/>
                <w:szCs w:val="20"/>
                <w:color w:val="auto"/>
              </w:rPr>
            </w:pPr>
            <w:r>
              <w:rPr>
                <w:rFonts w:ascii="Calibri" w:cs="Calibri" w:eastAsia="Calibri" w:hAnsi="Calibri"/>
                <w:sz w:val="18"/>
                <w:szCs w:val="18"/>
                <w:b w:val="1"/>
                <w:bCs w:val="1"/>
                <w:color w:val="auto"/>
                <w:w w:val="93"/>
              </w:rPr>
              <w:t>3.8%</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2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Immunology</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6,975</w:t>
            </w:r>
          </w:p>
        </w:tc>
        <w:tc>
          <w:tcPr>
            <w:tcW w:w="260" w:type="dxa"/>
            <w:vAlign w:val="bottom"/>
          </w:tcPr>
          <w:p>
            <w:pPr>
              <w:spacing w:after="0"/>
              <w:rPr>
                <w:sz w:val="24"/>
                <w:szCs w:val="24"/>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950</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7,925</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b w:val="1"/>
                <w:bCs w:val="1"/>
                <w:color w:val="auto"/>
                <w:w w:val="99"/>
              </w:rPr>
              <w:t>22.5</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w w:val="93"/>
              </w:rPr>
              <w:t>(9.5)</w:t>
            </w:r>
          </w:p>
        </w:tc>
        <w:tc>
          <w:tcPr>
            <w:tcW w:w="340" w:type="dxa"/>
            <w:vAlign w:val="bottom"/>
          </w:tcPr>
          <w:p>
            <w:pPr>
              <w:spacing w:after="0"/>
              <w:rPr>
                <w:sz w:val="24"/>
                <w:szCs w:val="24"/>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b w:val="1"/>
                <w:bCs w:val="1"/>
                <w:color w:val="auto"/>
                <w:w w:val="99"/>
              </w:rPr>
              <w:t>17.5</w:t>
            </w:r>
          </w:p>
        </w:tc>
        <w:tc>
          <w:tcPr>
            <w:tcW w:w="240" w:type="dxa"/>
            <w:vAlign w:val="bottom"/>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rPr>
              <w:t>3.2</w:t>
            </w:r>
          </w:p>
        </w:tc>
        <w:tc>
          <w:tcPr>
            <w:tcW w:w="280" w:type="dxa"/>
            <w:vAlign w:val="bottom"/>
          </w:tcPr>
          <w:p>
            <w:pPr>
              <w:spacing w:after="0"/>
              <w:rPr>
                <w:sz w:val="24"/>
                <w:szCs w:val="24"/>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b w:val="1"/>
                <w:bCs w:val="1"/>
                <w:color w:val="auto"/>
                <w:w w:val="93"/>
              </w:rPr>
              <w:t>19.5</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Humira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5,006</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573</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5,579</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9.9</w:t>
            </w:r>
          </w:p>
        </w:tc>
        <w:tc>
          <w:tcPr>
            <w:tcW w:w="28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(26.5)</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4.6</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3"/>
          </w:tcPr>
          <w:p>
            <w:pPr>
              <w:jc w:val="center"/>
              <w:ind w:right="220"/>
              <w:spacing w:after="0"/>
              <w:rPr>
                <w:sz w:val="20"/>
                <w:szCs w:val="20"/>
                <w:color w:val="auto"/>
              </w:rPr>
            </w:pPr>
            <w:r>
              <w:rPr>
                <w:rFonts w:ascii="Calibri" w:cs="Calibri" w:eastAsia="Calibri" w:hAnsi="Calibri"/>
                <w:sz w:val="18"/>
                <w:szCs w:val="18"/>
                <w:color w:val="auto"/>
                <w:w w:val="97"/>
              </w:rPr>
              <w:t>(16.9)</w:t>
            </w: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6"/>
              </w:rPr>
              <w:t>6.0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Skyrizi</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1,403</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173</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1,576</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84.3</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29.1</w:t>
            </w:r>
          </w:p>
        </w:tc>
        <w:tc>
          <w:tcPr>
            <w:tcW w:w="340" w:type="dxa"/>
            <w:vAlign w:val="bottom"/>
          </w:tcPr>
          <w:p>
            <w:pPr>
              <w:spacing w:after="0"/>
              <w:rPr>
                <w:sz w:val="19"/>
                <w:szCs w:val="19"/>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76.1</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47.9</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3"/>
              </w:rPr>
              <w:t>78.9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Rinvoq</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566</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204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770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48.6</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50.1</w:t>
            </w:r>
          </w:p>
        </w:tc>
        <w:tc>
          <w:tcPr>
            <w:tcW w:w="340" w:type="dxa"/>
            <w:vAlign w:val="bottom"/>
          </w:tcPr>
          <w:p>
            <w:pPr>
              <w:spacing w:after="0"/>
              <w:rPr>
                <w:sz w:val="19"/>
                <w:szCs w:val="19"/>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49.0</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74.5</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3"/>
              </w:rPr>
              <w:t>55.4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Hematologic Oncology</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1,110</w:t>
            </w:r>
          </w:p>
        </w:tc>
        <w:tc>
          <w:tcPr>
            <w:tcW w:w="260" w:type="dxa"/>
            <w:vAlign w:val="bottom"/>
          </w:tcPr>
          <w:p>
            <w:pPr>
              <w:spacing w:after="0"/>
              <w:rPr>
                <w:sz w:val="24"/>
                <w:szCs w:val="24"/>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521</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1,631</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6"/>
              </w:rPr>
              <w:t>(18.7)</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rPr>
              <w:t>2.6</w:t>
            </w:r>
          </w:p>
        </w:tc>
        <w:tc>
          <w:tcPr>
            <w:tcW w:w="3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(12.9)</w:t>
            </w: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rPr>
              <w:t>8.8</w:t>
            </w:r>
          </w:p>
        </w:tc>
        <w:tc>
          <w:tcPr>
            <w:tcW w:w="28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(11.2)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720" w:type="dxa"/>
            <w:vAlign w:val="bottom"/>
          </w:tcPr>
          <w:p>
            <w:pPr>
              <w:ind w:left="200"/>
              <w:spacing w:after="0" w:line="244" w:lineRule="exact"/>
              <w:rPr>
                <w:sz w:val="20"/>
                <w:szCs w:val="20"/>
                <w:color w:val="auto"/>
              </w:rPr>
            </w:pPr>
            <w:r>
              <w:rPr>
                <w:rFonts w:ascii="Calibri" w:cs="Calibri" w:eastAsia="Calibri" w:hAnsi="Calibri"/>
                <w:sz w:val="18"/>
                <w:szCs w:val="18"/>
                <w:color w:val="auto"/>
              </w:rPr>
              <w:t>Imbruvica</w:t>
            </w:r>
            <w:r>
              <w:rPr>
                <w:rFonts w:ascii="Calibri" w:cs="Calibri" w:eastAsia="Calibri" w:hAnsi="Calibri"/>
                <w:sz w:val="23"/>
                <w:szCs w:val="23"/>
                <w:color w:val="auto"/>
                <w:vertAlign w:val="superscript"/>
              </w:rPr>
              <w:t>b</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841</w:t>
            </w:r>
          </w:p>
        </w:tc>
        <w:tc>
          <w:tcPr>
            <w:tcW w:w="260" w:type="dxa"/>
            <w:vAlign w:val="bottom"/>
          </w:tcPr>
          <w:p>
            <w:pPr>
              <w:spacing w:after="0"/>
              <w:rPr>
                <w:sz w:val="21"/>
                <w:szCs w:val="21"/>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274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1,115</w:t>
            </w:r>
          </w:p>
        </w:tc>
        <w:tc>
          <w:tcPr>
            <w:tcW w:w="20" w:type="dxa"/>
            <w:vAlign w:val="bottom"/>
            <w:shd w:val="clear" w:color="auto" w:fill="000000"/>
          </w:tcPr>
          <w:p>
            <w:pPr>
              <w:spacing w:after="0"/>
              <w:rPr>
                <w:sz w:val="21"/>
                <w:szCs w:val="21"/>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(24.6)</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1.6</w:t>
            </w:r>
          </w:p>
        </w:tc>
        <w:tc>
          <w:tcPr>
            <w:tcW w:w="340" w:type="dxa"/>
            <w:vAlign w:val="bottom"/>
          </w:tcPr>
          <w:p>
            <w:pPr>
              <w:spacing w:after="0"/>
              <w:rPr>
                <w:sz w:val="21"/>
                <w:szCs w:val="21"/>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(19.5)</w:t>
            </w:r>
          </w:p>
        </w:tc>
        <w:tc>
          <w:tcPr>
            <w:tcW w:w="10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1.6</w:t>
            </w:r>
          </w:p>
        </w:tc>
        <w:tc>
          <w:tcPr>
            <w:tcW w:w="28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7"/>
              </w:rPr>
              <w:t>(19.5)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20" w:type="dxa"/>
            <w:vAlign w:val="bottom"/>
          </w:tcPr>
          <w:p>
            <w:pPr>
              <w:ind w:left="200"/>
              <w:spacing w:after="0" w:line="215" w:lineRule="exact"/>
              <w:rPr>
                <w:sz w:val="20"/>
                <w:szCs w:val="20"/>
                <w:color w:val="auto"/>
              </w:rPr>
            </w:pPr>
            <w:r>
              <w:rPr>
                <w:rFonts w:ascii="Calibri" w:cs="Calibri" w:eastAsia="Calibri" w:hAnsi="Calibri"/>
                <w:sz w:val="18"/>
                <w:szCs w:val="18"/>
                <w:color w:val="auto"/>
              </w:rPr>
              <w:t>Venclexta</w:t>
            </w:r>
          </w:p>
        </w:tc>
        <w:tc>
          <w:tcPr>
            <w:tcW w:w="88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269</w:t>
            </w:r>
          </w:p>
        </w:tc>
        <w:tc>
          <w:tcPr>
            <w:tcW w:w="260" w:type="dxa"/>
            <w:vAlign w:val="bottom"/>
          </w:tcPr>
          <w:p>
            <w:pPr>
              <w:spacing w:after="0"/>
              <w:rPr>
                <w:sz w:val="18"/>
                <w:szCs w:val="18"/>
                <w:color w:val="auto"/>
              </w:rPr>
            </w:pPr>
          </w:p>
        </w:tc>
        <w:tc>
          <w:tcPr>
            <w:tcW w:w="700" w:type="dxa"/>
            <w:vAlign w:val="bottom"/>
            <w:gridSpan w:val="3"/>
          </w:tcPr>
          <w:p>
            <w:pPr>
              <w:jc w:val="right"/>
              <w:ind w:right="10"/>
              <w:spacing w:after="0" w:line="215" w:lineRule="exact"/>
              <w:rPr>
                <w:sz w:val="20"/>
                <w:szCs w:val="20"/>
                <w:color w:val="auto"/>
              </w:rPr>
            </w:pPr>
            <w:r>
              <w:rPr>
                <w:rFonts w:ascii="Calibri" w:cs="Calibri" w:eastAsia="Calibri" w:hAnsi="Calibri"/>
                <w:sz w:val="18"/>
                <w:szCs w:val="18"/>
                <w:color w:val="auto"/>
              </w:rPr>
              <w:t>247</w:t>
            </w:r>
          </w:p>
        </w:tc>
        <w:tc>
          <w:tcPr>
            <w:tcW w:w="92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516</w:t>
            </w:r>
          </w:p>
        </w:tc>
        <w:tc>
          <w:tcPr>
            <w:tcW w:w="20" w:type="dxa"/>
            <w:vAlign w:val="bottom"/>
            <w:shd w:val="clear" w:color="auto" w:fill="000000"/>
          </w:tcPr>
          <w:p>
            <w:pPr>
              <w:spacing w:after="0"/>
              <w:rPr>
                <w:sz w:val="18"/>
                <w:szCs w:val="18"/>
                <w:color w:val="auto"/>
              </w:rPr>
            </w:pPr>
          </w:p>
        </w:tc>
        <w:tc>
          <w:tcPr>
            <w:tcW w:w="660" w:type="dxa"/>
            <w:vAlign w:val="bottom"/>
            <w:gridSpan w:val="3"/>
          </w:tcPr>
          <w:p>
            <w:pPr>
              <w:jc w:val="center"/>
              <w:ind w:left="270"/>
              <w:spacing w:after="0" w:line="215" w:lineRule="exact"/>
              <w:rPr>
                <w:sz w:val="20"/>
                <w:szCs w:val="20"/>
                <w:color w:val="auto"/>
              </w:rPr>
            </w:pPr>
            <w:r>
              <w:rPr>
                <w:rFonts w:ascii="Calibri" w:cs="Calibri" w:eastAsia="Calibri" w:hAnsi="Calibri"/>
                <w:sz w:val="18"/>
                <w:szCs w:val="18"/>
                <w:color w:val="auto"/>
                <w:w w:val="96"/>
              </w:rPr>
              <w:t>7.7</w:t>
            </w:r>
          </w:p>
        </w:tc>
        <w:tc>
          <w:tcPr>
            <w:tcW w:w="280" w:type="dxa"/>
            <w:vAlign w:val="bottom"/>
          </w:tcPr>
          <w:p>
            <w:pPr>
              <w:spacing w:after="0"/>
              <w:rPr>
                <w:sz w:val="18"/>
                <w:szCs w:val="18"/>
                <w:color w:val="auto"/>
              </w:rPr>
            </w:pPr>
          </w:p>
        </w:tc>
        <w:tc>
          <w:tcPr>
            <w:tcW w:w="7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rPr>
              <w:t>3.7</w:t>
            </w:r>
          </w:p>
        </w:tc>
        <w:tc>
          <w:tcPr>
            <w:tcW w:w="340" w:type="dxa"/>
            <w:vAlign w:val="bottom"/>
          </w:tcPr>
          <w:p>
            <w:pPr>
              <w:spacing w:after="0"/>
              <w:rPr>
                <w:sz w:val="18"/>
                <w:szCs w:val="18"/>
                <w:color w:val="auto"/>
              </w:rPr>
            </w:pPr>
          </w:p>
        </w:tc>
        <w:tc>
          <w:tcPr>
            <w:tcW w:w="600" w:type="dxa"/>
            <w:vAlign w:val="bottom"/>
            <w:gridSpan w:val="2"/>
          </w:tcPr>
          <w:p>
            <w:pPr>
              <w:jc w:val="center"/>
              <w:ind w:left="170"/>
              <w:spacing w:after="0" w:line="215" w:lineRule="exact"/>
              <w:rPr>
                <w:sz w:val="20"/>
                <w:szCs w:val="20"/>
                <w:color w:val="auto"/>
              </w:rPr>
            </w:pPr>
            <w:r>
              <w:rPr>
                <w:rFonts w:ascii="Calibri" w:cs="Calibri" w:eastAsia="Calibri" w:hAnsi="Calibri"/>
                <w:sz w:val="18"/>
                <w:szCs w:val="18"/>
                <w:color w:val="auto"/>
                <w:w w:val="96"/>
              </w:rPr>
              <w:t>5.7</w:t>
            </w:r>
          </w:p>
        </w:tc>
        <w:tc>
          <w:tcPr>
            <w:tcW w:w="24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rPr>
              <w:t>17.0</w:t>
            </w:r>
          </w:p>
        </w:tc>
        <w:tc>
          <w:tcPr>
            <w:tcW w:w="280" w:type="dxa"/>
            <w:vAlign w:val="bottom"/>
          </w:tcPr>
          <w:p>
            <w:pPr>
              <w:spacing w:after="0"/>
              <w:rPr>
                <w:sz w:val="18"/>
                <w:szCs w:val="18"/>
                <w:color w:val="auto"/>
              </w:rPr>
            </w:pPr>
          </w:p>
        </w:tc>
        <w:tc>
          <w:tcPr>
            <w:tcW w:w="66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3"/>
              </w:rPr>
              <w:t>12.2</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Aesthetcs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835</w:t>
            </w:r>
          </w:p>
        </w:tc>
        <w:tc>
          <w:tcPr>
            <w:tcW w:w="260" w:type="dxa"/>
            <w:vAlign w:val="bottom"/>
          </w:tcPr>
          <w:p>
            <w:pPr>
              <w:spacing w:after="0"/>
              <w:rPr>
                <w:sz w:val="24"/>
                <w:szCs w:val="24"/>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452</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1,287</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9"/>
              </w:rPr>
              <w:t>(4.7)</w:t>
            </w:r>
          </w:p>
        </w:tc>
        <w:tc>
          <w:tcPr>
            <w:tcW w:w="10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rPr>
              <w:t>(14.8)</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b w:val="1"/>
                <w:bCs w:val="1"/>
                <w:color w:val="auto"/>
                <w:w w:val="99"/>
              </w:rPr>
              <w:t>(8.5)</w:t>
            </w:r>
          </w:p>
        </w:tc>
        <w:tc>
          <w:tcPr>
            <w:tcW w:w="240" w:type="dxa"/>
            <w:vAlign w:val="bottom"/>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3"/>
              </w:rPr>
              <w:t>(3.4)</w:t>
            </w:r>
          </w:p>
        </w:tc>
        <w:tc>
          <w:tcPr>
            <w:tcW w:w="280" w:type="dxa"/>
            <w:vAlign w:val="bottom"/>
          </w:tcPr>
          <w:p>
            <w:pPr>
              <w:spacing w:after="0"/>
              <w:rPr>
                <w:sz w:val="24"/>
                <w:szCs w:val="24"/>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b w:val="1"/>
                <w:bCs w:val="1"/>
                <w:color w:val="auto"/>
                <w:w w:val="99"/>
              </w:rPr>
              <w:t>(4.2)</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Botox Cosmetc</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422</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220</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642</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6.4</w:t>
            </w:r>
          </w:p>
        </w:tc>
        <w:tc>
          <w:tcPr>
            <w:tcW w:w="280" w:type="dxa"/>
            <w:vAlign w:val="bottom"/>
          </w:tcPr>
          <w:p>
            <w:pPr>
              <w:spacing w:after="0"/>
              <w:rPr>
                <w:sz w:val="19"/>
                <w:szCs w:val="19"/>
                <w:color w:val="auto"/>
              </w:rPr>
            </w:pP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4"/>
              </w:rPr>
              <w:t>(4.0)</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2.6</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8.3</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6"/>
              </w:rPr>
              <w:t>7.1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Juvederm Collecton</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128</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194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322</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(28.3)</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(23.3)</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(25.4)</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3"/>
          </w:tcPr>
          <w:p>
            <w:pPr>
              <w:jc w:val="center"/>
              <w:ind w:right="220"/>
              <w:spacing w:after="0"/>
              <w:rPr>
                <w:sz w:val="20"/>
                <w:szCs w:val="20"/>
                <w:color w:val="auto"/>
              </w:rPr>
            </w:pPr>
            <w:r>
              <w:rPr>
                <w:rFonts w:ascii="Calibri" w:cs="Calibri" w:eastAsia="Calibri" w:hAnsi="Calibri"/>
                <w:sz w:val="18"/>
                <w:szCs w:val="18"/>
                <w:color w:val="auto"/>
                <w:w w:val="97"/>
              </w:rPr>
              <w:t>(12.4)</w:t>
            </w: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7"/>
              </w:rPr>
              <w:t>(19.0)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Other Aesthetcs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285</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38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323</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4"/>
              </w:rPr>
              <w:t>(5.3)</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(21.4)</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rPr>
              <w:t>(7.6)</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3"/>
          </w:tcPr>
          <w:p>
            <w:pPr>
              <w:jc w:val="center"/>
              <w:ind w:right="220"/>
              <w:spacing w:after="0"/>
              <w:rPr>
                <w:sz w:val="20"/>
                <w:szCs w:val="20"/>
                <w:color w:val="auto"/>
              </w:rPr>
            </w:pPr>
            <w:r>
              <w:rPr>
                <w:rFonts w:ascii="Calibri" w:cs="Calibri" w:eastAsia="Calibri" w:hAnsi="Calibri"/>
                <w:sz w:val="18"/>
                <w:szCs w:val="18"/>
                <w:color w:val="auto"/>
                <w:w w:val="97"/>
              </w:rPr>
              <w:t>(11.7)</w:t>
            </w: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rPr>
              <w:t>(6.2)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Neuroscience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1,506</w:t>
            </w:r>
          </w:p>
        </w:tc>
        <w:tc>
          <w:tcPr>
            <w:tcW w:w="260" w:type="dxa"/>
            <w:vAlign w:val="bottom"/>
          </w:tcPr>
          <w:p>
            <w:pPr>
              <w:spacing w:after="0"/>
              <w:rPr>
                <w:sz w:val="24"/>
                <w:szCs w:val="24"/>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204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1,710</w:t>
            </w: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90"/>
              <w:spacing w:after="0"/>
              <w:rPr>
                <w:sz w:val="20"/>
                <w:szCs w:val="20"/>
                <w:color w:val="auto"/>
              </w:rPr>
            </w:pPr>
            <w:r>
              <w:rPr>
                <w:rFonts w:ascii="Calibri" w:cs="Calibri" w:eastAsia="Calibri" w:hAnsi="Calibri"/>
                <w:sz w:val="18"/>
                <w:szCs w:val="18"/>
                <w:b w:val="1"/>
                <w:bCs w:val="1"/>
                <w:color w:val="auto"/>
              </w:rPr>
              <w:t>4.7</w:t>
            </w:r>
          </w:p>
        </w:tc>
        <w:tc>
          <w:tcPr>
            <w:tcW w:w="280" w:type="dxa"/>
            <w:vAlign w:val="bottom"/>
          </w:tcPr>
          <w:p>
            <w:pPr>
              <w:spacing w:after="0"/>
              <w:rPr>
                <w:sz w:val="24"/>
                <w:szCs w:val="24"/>
                <w:color w:val="auto"/>
              </w:rPr>
            </w:pP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w w:val="93"/>
              </w:rPr>
              <w:t>(5.7)</w:t>
            </w:r>
          </w:p>
        </w:tc>
        <w:tc>
          <w:tcPr>
            <w:tcW w:w="340" w:type="dxa"/>
            <w:vAlign w:val="bottom"/>
          </w:tcPr>
          <w:p>
            <w:pPr>
              <w:spacing w:after="0"/>
              <w:rPr>
                <w:sz w:val="24"/>
                <w:szCs w:val="24"/>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b w:val="1"/>
                <w:bCs w:val="1"/>
                <w:color w:val="auto"/>
                <w:w w:val="95"/>
              </w:rPr>
              <w:t>3.4</w:t>
            </w:r>
          </w:p>
        </w:tc>
        <w:tc>
          <w:tcPr>
            <w:tcW w:w="240" w:type="dxa"/>
            <w:vAlign w:val="bottom"/>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rPr>
              <w:t>7.2</w:t>
            </w:r>
          </w:p>
        </w:tc>
        <w:tc>
          <w:tcPr>
            <w:tcW w:w="280" w:type="dxa"/>
            <w:vAlign w:val="bottom"/>
          </w:tcPr>
          <w:p>
            <w:pPr>
              <w:spacing w:after="0"/>
              <w:rPr>
                <w:sz w:val="24"/>
                <w:szCs w:val="24"/>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b w:val="1"/>
                <w:bCs w:val="1"/>
                <w:color w:val="auto"/>
                <w:w w:val="95"/>
              </w:rPr>
              <w:t>5.1</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Botox Therapeutc</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614</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114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728</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9.6</w:t>
            </w:r>
          </w:p>
        </w:tc>
        <w:tc>
          <w:tcPr>
            <w:tcW w:w="280" w:type="dxa"/>
            <w:vAlign w:val="bottom"/>
          </w:tcPr>
          <w:p>
            <w:pPr>
              <w:spacing w:after="0"/>
              <w:rPr>
                <w:sz w:val="19"/>
                <w:szCs w:val="19"/>
                <w:color w:val="auto"/>
              </w:rPr>
            </w:pP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2.8</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8.5</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16.2</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3"/>
              </w:rPr>
              <w:t>10.7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Vraylar</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564</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565</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15.4</w:t>
            </w: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15.5</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3"/>
              </w:rPr>
              <w:t>15.5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Duodopa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23</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84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107</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(18.3)</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(15.8)</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(16.3)</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w w:val="94"/>
              </w:rPr>
              <w:t>(3.2)</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rPr>
              <w:t>(6.5)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Ubrelvy</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197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w w:val="97"/>
              </w:rPr>
              <w:t>—</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197</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7.5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7.7</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6"/>
              </w:rPr>
              <w:t>7.7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Qulipta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w w:val="97"/>
              </w:rPr>
              <w:t>—</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52</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5"/>
              </w:rPr>
              <w:t>&gt;100.0</w:t>
            </w: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9"/>
              </w:rPr>
              <w:t>&gt;100.0</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9"/>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Other Neuroscience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56</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5</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61</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(66.2)</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4"/>
              </w:rPr>
              <w:t>(8.8)</w:t>
            </w:r>
          </w:p>
        </w:tc>
        <w:tc>
          <w:tcPr>
            <w:tcW w:w="3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(64.5)</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w w:val="94"/>
              </w:rPr>
              <w:t>(1.1)</w:t>
            </w:r>
          </w:p>
        </w:tc>
        <w:tc>
          <w:tcPr>
            <w:tcW w:w="28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7"/>
              </w:rPr>
              <w:t>(64.3)</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Eye Care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338</w:t>
            </w:r>
          </w:p>
        </w:tc>
        <w:tc>
          <w:tcPr>
            <w:tcW w:w="260" w:type="dxa"/>
            <w:vAlign w:val="bottom"/>
          </w:tcPr>
          <w:p>
            <w:pPr>
              <w:spacing w:after="0"/>
              <w:rPr>
                <w:sz w:val="24"/>
                <w:szCs w:val="24"/>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252</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590</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6"/>
              </w:rPr>
              <w:t>(49.7)</w:t>
            </w:r>
          </w:p>
        </w:tc>
        <w:tc>
          <w:tcPr>
            <w:tcW w:w="10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rPr>
              <w:t>(12.4)</w:t>
            </w:r>
          </w:p>
        </w:tc>
        <w:tc>
          <w:tcPr>
            <w:tcW w:w="8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(38.5)</w:t>
            </w: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3"/>
              </w:rPr>
              <w:t>(1.3)</w:t>
            </w:r>
          </w:p>
        </w:tc>
        <w:tc>
          <w:tcPr>
            <w:tcW w:w="28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(35.2)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Lumigan/Ganfort</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56</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67</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123</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(22.1)</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(13.0)</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(17.4)</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w w:val="94"/>
              </w:rPr>
              <w:t>(3.3)</w:t>
            </w:r>
          </w:p>
        </w:tc>
        <w:tc>
          <w:tcPr>
            <w:tcW w:w="28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7"/>
              </w:rPr>
              <w:t>(12.4)</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Alphagan/Combigan</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41</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33</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74</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(59.4)</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(16.2)</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(47.4)</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w w:val="94"/>
              </w:rPr>
              <w:t>(4.5)</w:t>
            </w:r>
          </w:p>
        </w:tc>
        <w:tc>
          <w:tcPr>
            <w:tcW w:w="28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7"/>
              </w:rPr>
              <w:t>(44.1)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Restasis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103</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7</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110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(70.5)</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(49.0)</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(69.6)</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3"/>
          </w:tcPr>
          <w:p>
            <w:pPr>
              <w:jc w:val="center"/>
              <w:ind w:right="220"/>
              <w:spacing w:after="0"/>
              <w:rPr>
                <w:sz w:val="20"/>
                <w:szCs w:val="20"/>
                <w:color w:val="auto"/>
              </w:rPr>
            </w:pPr>
            <w:r>
              <w:rPr>
                <w:rFonts w:ascii="Calibri" w:cs="Calibri" w:eastAsia="Calibri" w:hAnsi="Calibri"/>
                <w:sz w:val="18"/>
                <w:szCs w:val="18"/>
                <w:color w:val="auto"/>
                <w:w w:val="97"/>
              </w:rPr>
              <w:t>(45.0)</w:t>
            </w:r>
          </w:p>
        </w:tc>
        <w:tc>
          <w:tcPr>
            <w:tcW w:w="900" w:type="dxa"/>
            <w:vAlign w:val="bottom"/>
            <w:gridSpan w:val="3"/>
          </w:tcPr>
          <w:p>
            <w:pPr>
              <w:jc w:val="center"/>
              <w:spacing w:after="0"/>
              <w:rPr>
                <w:sz w:val="20"/>
                <w:szCs w:val="20"/>
                <w:color w:val="auto"/>
              </w:rPr>
            </w:pPr>
            <w:r>
              <w:rPr>
                <w:rFonts w:ascii="Calibri" w:cs="Calibri" w:eastAsia="Calibri" w:hAnsi="Calibri"/>
                <w:sz w:val="18"/>
                <w:szCs w:val="18"/>
                <w:color w:val="auto"/>
                <w:w w:val="97"/>
              </w:rPr>
              <w:t>(69.4)</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Other Eye Care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138</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145</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283</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4"/>
              </w:rPr>
              <w:t>(7.7)</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4"/>
              </w:rPr>
              <w:t>(7.8)</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rPr>
              <w:t>(7.7)</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4.5</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rPr>
              <w:t>(1.4)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Other Key Products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791</w:t>
            </w:r>
          </w:p>
        </w:tc>
        <w:tc>
          <w:tcPr>
            <w:tcW w:w="260" w:type="dxa"/>
            <w:vAlign w:val="bottom"/>
          </w:tcPr>
          <w:p>
            <w:pPr>
              <w:spacing w:after="0"/>
              <w:rPr>
                <w:sz w:val="24"/>
                <w:szCs w:val="24"/>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195</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986</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9"/>
              </w:rPr>
              <w:t>(1.5)</w:t>
            </w:r>
          </w:p>
        </w:tc>
        <w:tc>
          <w:tcPr>
            <w:tcW w:w="10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rPr>
              <w:t>(18.4)</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b w:val="1"/>
                <w:bCs w:val="1"/>
                <w:color w:val="auto"/>
                <w:w w:val="99"/>
              </w:rPr>
              <w:t>(5.4)</w:t>
            </w:r>
          </w:p>
        </w:tc>
        <w:tc>
          <w:tcPr>
            <w:tcW w:w="240" w:type="dxa"/>
            <w:vAlign w:val="bottom"/>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3"/>
              </w:rPr>
              <w:t>(6.2)</w:t>
            </w:r>
          </w:p>
        </w:tc>
        <w:tc>
          <w:tcPr>
            <w:tcW w:w="280" w:type="dxa"/>
            <w:vAlign w:val="bottom"/>
          </w:tcPr>
          <w:p>
            <w:pPr>
              <w:spacing w:after="0"/>
              <w:rPr>
                <w:sz w:val="24"/>
                <w:szCs w:val="24"/>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b w:val="1"/>
                <w:bCs w:val="1"/>
                <w:color w:val="auto"/>
                <w:w w:val="99"/>
              </w:rPr>
              <w:t>(2.6)</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Mavyret</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193</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187</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380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4"/>
              </w:rPr>
              <w:t>(1.8)</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(18.8)</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(11.0)</w:t>
            </w: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w w:val="94"/>
              </w:rPr>
              <w:t>(6.5)</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rPr>
              <w:t>(4.4)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Creon</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337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w w:val="97"/>
              </w:rPr>
              <w:t>—</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337</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3.0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3.0</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w w:val="96"/>
              </w:rPr>
              <w:t>3.0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Linzess/Constella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261</w:t>
            </w:r>
          </w:p>
        </w:tc>
        <w:tc>
          <w:tcPr>
            <w:tcW w:w="260" w:type="dxa"/>
            <w:vAlign w:val="bottom"/>
          </w:tcPr>
          <w:p>
            <w:pPr>
              <w:spacing w:after="0"/>
              <w:rPr>
                <w:sz w:val="19"/>
                <w:szCs w:val="19"/>
                <w:color w:val="auto"/>
              </w:rPr>
            </w:pPr>
          </w:p>
        </w:tc>
        <w:tc>
          <w:tcPr>
            <w:tcW w:w="700" w:type="dxa"/>
            <w:vAlign w:val="bottom"/>
            <w:gridSpan w:val="3"/>
          </w:tcPr>
          <w:p>
            <w:pPr>
              <w:jc w:val="right"/>
              <w:ind w:right="10"/>
              <w:spacing w:after="0"/>
              <w:rPr>
                <w:sz w:val="20"/>
                <w:szCs w:val="20"/>
                <w:color w:val="auto"/>
              </w:rPr>
            </w:pPr>
            <w:r>
              <w:rPr>
                <w:rFonts w:ascii="Calibri" w:cs="Calibri" w:eastAsia="Calibri" w:hAnsi="Calibri"/>
                <w:sz w:val="18"/>
                <w:szCs w:val="18"/>
                <w:color w:val="auto"/>
              </w:rPr>
              <w:t>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269</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4"/>
              </w:rPr>
              <w:t>(6.5)</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4"/>
              </w:rPr>
              <w:t>(7.5)</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rPr>
              <w:t>(6.6)</w:t>
            </w:r>
          </w:p>
        </w:tc>
        <w:tc>
          <w:tcPr>
            <w:tcW w:w="24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Calibri" w:cs="Calibri" w:eastAsia="Calibri" w:hAnsi="Calibri"/>
                <w:sz w:val="18"/>
                <w:szCs w:val="18"/>
                <w:color w:val="auto"/>
              </w:rPr>
              <w:t>2.2</w:t>
            </w:r>
          </w:p>
        </w:tc>
        <w:tc>
          <w:tcPr>
            <w:tcW w:w="28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Calibri" w:cs="Calibri" w:eastAsia="Calibri" w:hAnsi="Calibri"/>
                <w:sz w:val="18"/>
                <w:szCs w:val="18"/>
                <w:color w:val="auto"/>
              </w:rPr>
              <w:t>(6.3)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6"/>
        </w:numPr>
        <w:rPr>
          <w:rFonts w:ascii="Calibri" w:cs="Calibri" w:eastAsia="Calibri" w:hAnsi="Calibri"/>
          <w:sz w:val="19"/>
          <w:szCs w:val="19"/>
          <w:color w:val="auto"/>
          <w:vertAlign w:val="superscript"/>
        </w:rPr>
      </w:pPr>
      <w:r>
        <w:rPr>
          <w:rFonts w:ascii="Calibri" w:cs="Calibri" w:eastAsia="Calibri" w:hAnsi="Calibri"/>
          <w:sz w:val="14"/>
          <w:szCs w:val="14"/>
          <w:color w:val="auto"/>
        </w:rPr>
        <w:t>"Operatonal" comparisons are presented at constant currency rates that refect comparatve local currency net revenues at the prior year's foreign exchange rates.</w:t>
      </w:r>
    </w:p>
    <w:p>
      <w:pPr>
        <w:spacing w:after="0" w:line="100" w:lineRule="exact"/>
        <w:rPr>
          <w:sz w:val="20"/>
          <w:szCs w:val="20"/>
          <w:color w:val="auto"/>
        </w:rPr>
      </w:pPr>
    </w:p>
    <w:p>
      <w:pPr>
        <w:ind w:right="7620" w:firstLine="8"/>
        <w:spacing w:after="0" w:line="273" w:lineRule="auto"/>
        <w:tabs>
          <w:tab w:leader="none" w:pos="134" w:val="left"/>
        </w:tabs>
        <w:numPr>
          <w:ilvl w:val="0"/>
          <w:numId w:val="7"/>
        </w:numPr>
        <w:rPr>
          <w:rFonts w:ascii="Calibri" w:cs="Calibri" w:eastAsia="Calibri" w:hAnsi="Calibri"/>
          <w:sz w:val="19"/>
          <w:szCs w:val="19"/>
          <w:color w:val="auto"/>
          <w:vertAlign w:val="superscript"/>
        </w:rPr>
      </w:pPr>
      <w:r>
        <w:rPr>
          <w:rFonts w:ascii="Calibri" w:cs="Calibri" w:eastAsia="Calibri" w:hAnsi="Calibri"/>
          <w:sz w:val="14"/>
          <w:szCs w:val="14"/>
          <w:color w:val="auto"/>
        </w:rPr>
        <w:t>Refects proft sharing for Imbruvica internatonal revenues. n/m = not meaningful</w:t>
      </w:r>
    </w:p>
    <w:p>
      <w:pPr>
        <w:spacing w:after="0" w:line="251"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868" w:right="339" w:bottom="1440" w:gutter="0" w:footer="0" w:header="0"/>
        </w:sectPr>
      </w:pPr>
    </w:p>
    <w:bookmarkStart w:id="10" w:name="page11"/>
    <w:bookmarkEnd w:id="10"/>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Key Product Revenues</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Twelve Months Ended December 31, 2022</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(Unaudited)</w:t>
      </w:r>
    </w:p>
    <w:p>
      <w:pPr>
        <w:spacing w:after="0" w:line="40"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9"/>
          </w:tcPr>
          <w:p>
            <w:pPr>
              <w:jc w:val="center"/>
              <w:ind w:right="660"/>
              <w:spacing w:after="0"/>
              <w:rPr>
                <w:sz w:val="20"/>
                <w:szCs w:val="20"/>
                <w:color w:val="auto"/>
              </w:rPr>
            </w:pPr>
            <w:r>
              <w:rPr>
                <w:rFonts w:ascii="Calibri" w:cs="Calibri" w:eastAsia="Calibri" w:hAnsi="Calibri"/>
                <w:sz w:val="18"/>
                <w:szCs w:val="18"/>
                <w:b w:val="1"/>
                <w:bCs w:val="1"/>
                <w:color w:val="auto"/>
                <w:w w:val="97"/>
              </w:rPr>
              <w:t>% Change vs. 12M21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80" w:type="dxa"/>
            <w:vAlign w:val="bottom"/>
            <w:gridSpan w:val="8"/>
            <w:vMerge w:val="restart"/>
          </w:tcPr>
          <w:p>
            <w:pPr>
              <w:jc w:val="right"/>
              <w:ind w:right="420"/>
              <w:spacing w:after="0"/>
              <w:rPr>
                <w:sz w:val="20"/>
                <w:szCs w:val="20"/>
                <w:color w:val="auto"/>
              </w:rPr>
            </w:pPr>
            <w:r>
              <w:rPr>
                <w:rFonts w:ascii="Calibri" w:cs="Calibri" w:eastAsia="Calibri" w:hAnsi="Calibri"/>
                <w:sz w:val="18"/>
                <w:szCs w:val="18"/>
                <w:b w:val="1"/>
                <w:bCs w:val="1"/>
                <w:color w:val="auto"/>
              </w:rPr>
              <w:t>Net Revenues (in millions)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spacing w:after="0" w:line="215" w:lineRule="exact"/>
              <w:rPr>
                <w:sz w:val="20"/>
                <w:szCs w:val="20"/>
                <w:color w:val="auto"/>
              </w:rPr>
            </w:pPr>
            <w:r>
              <w:rPr>
                <w:rFonts w:ascii="Calibri" w:cs="Calibri" w:eastAsia="Calibri" w:hAnsi="Calibri"/>
                <w:sz w:val="18"/>
                <w:szCs w:val="18"/>
                <w:b w:val="1"/>
                <w:bCs w:val="1"/>
                <w:color w:val="auto"/>
                <w:w w:val="97"/>
              </w:rPr>
              <w:t>Reported</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ind w:left="140"/>
              <w:spacing w:after="0" w:line="223" w:lineRule="exact"/>
              <w:rPr>
                <w:sz w:val="20"/>
                <w:szCs w:val="20"/>
                <w:color w:val="auto"/>
              </w:rPr>
            </w:pPr>
            <w:r>
              <w:rPr>
                <w:rFonts w:ascii="Calibri" w:cs="Calibri" w:eastAsia="Calibri" w:hAnsi="Calibri"/>
                <w:sz w:val="18"/>
                <w:szCs w:val="18"/>
                <w:b w:val="1"/>
                <w:bCs w:val="1"/>
                <w:color w:val="auto"/>
              </w:rPr>
              <w:t>Operatonal</w:t>
            </w:r>
            <w:r>
              <w:rPr>
                <w:rFonts w:ascii="Calibri" w:cs="Calibri" w:eastAsia="Calibri" w:hAnsi="Calibri"/>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line="169" w:lineRule="exact"/>
              <w:rPr>
                <w:sz w:val="20"/>
                <w:szCs w:val="20"/>
                <w:color w:val="auto"/>
              </w:rPr>
            </w:pPr>
            <w:r>
              <w:rPr>
                <w:rFonts w:ascii="Calibri" w:cs="Calibri" w:eastAsia="Calibri" w:hAnsi="Calibri"/>
                <w:sz w:val="18"/>
                <w:szCs w:val="18"/>
                <w:b w:val="1"/>
                <w:bCs w:val="1"/>
                <w:color w:val="auto"/>
                <w:w w:val="93"/>
              </w:rPr>
              <w:t>U.S.</w:t>
            </w:r>
          </w:p>
        </w:tc>
        <w:tc>
          <w:tcPr>
            <w:tcW w:w="300" w:type="dxa"/>
            <w:vAlign w:val="bottom"/>
          </w:tcPr>
          <w:p>
            <w:pPr>
              <w:spacing w:after="0"/>
              <w:rPr>
                <w:sz w:val="14"/>
                <w:szCs w:val="14"/>
                <w:color w:val="auto"/>
              </w:rPr>
            </w:pPr>
          </w:p>
        </w:tc>
        <w:tc>
          <w:tcPr>
            <w:tcW w:w="960" w:type="dxa"/>
            <w:vAlign w:val="bottom"/>
            <w:gridSpan w:val="3"/>
          </w:tcPr>
          <w:p>
            <w:pPr>
              <w:jc w:val="right"/>
              <w:ind w:right="190"/>
              <w:spacing w:after="0" w:line="169" w:lineRule="exact"/>
              <w:rPr>
                <w:sz w:val="20"/>
                <w:szCs w:val="20"/>
                <w:color w:val="auto"/>
              </w:rPr>
            </w:pPr>
            <w:r>
              <w:rPr>
                <w:rFonts w:ascii="Calibri" w:cs="Calibri" w:eastAsia="Calibri" w:hAnsi="Calibri"/>
                <w:sz w:val="18"/>
                <w:szCs w:val="18"/>
                <w:b w:val="1"/>
                <w:bCs w:val="1"/>
                <w:color w:val="auto"/>
              </w:rPr>
              <w:t>Int’l.</w:t>
            </w:r>
          </w:p>
        </w:tc>
        <w:tc>
          <w:tcPr>
            <w:tcW w:w="320" w:type="dxa"/>
            <w:vAlign w:val="bottom"/>
          </w:tcPr>
          <w:p>
            <w:pPr>
              <w:spacing w:after="0"/>
              <w:rPr>
                <w:sz w:val="14"/>
                <w:szCs w:val="14"/>
                <w:color w:val="auto"/>
              </w:rPr>
            </w:pPr>
          </w:p>
        </w:tc>
        <w:tc>
          <w:tcPr>
            <w:tcW w:w="600" w:type="dxa"/>
            <w:vAlign w:val="bottom"/>
            <w:gridSpan w:val="2"/>
          </w:tcPr>
          <w:p>
            <w:pPr>
              <w:jc w:val="right"/>
              <w:ind w:right="240"/>
              <w:spacing w:after="0" w:line="169" w:lineRule="exact"/>
              <w:rPr>
                <w:sz w:val="20"/>
                <w:szCs w:val="20"/>
                <w:color w:val="auto"/>
              </w:rPr>
            </w:pPr>
            <w:r>
              <w:rPr>
                <w:rFonts w:ascii="Calibri" w:cs="Calibri" w:eastAsia="Calibri" w:hAnsi="Calibri"/>
                <w:sz w:val="18"/>
                <w:szCs w:val="18"/>
                <w:b w:val="1"/>
                <w:bCs w:val="1"/>
                <w:color w:val="auto"/>
                <w:w w:val="88"/>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80"/>
              <w:spacing w:after="0" w:line="169" w:lineRule="exact"/>
              <w:rPr>
                <w:sz w:val="20"/>
                <w:szCs w:val="20"/>
                <w:color w:val="auto"/>
              </w:rPr>
            </w:pPr>
            <w:r>
              <w:rPr>
                <w:rFonts w:ascii="Calibri" w:cs="Calibri" w:eastAsia="Calibri" w:hAnsi="Calibri"/>
                <w:sz w:val="18"/>
                <w:szCs w:val="18"/>
                <w:b w:val="1"/>
                <w:bCs w:val="1"/>
                <w:color w:val="auto"/>
              </w:rPr>
              <w:t>U.S.</w:t>
            </w:r>
          </w:p>
        </w:tc>
        <w:tc>
          <w:tcPr>
            <w:tcW w:w="1040" w:type="dxa"/>
            <w:vAlign w:val="bottom"/>
            <w:gridSpan w:val="3"/>
          </w:tcPr>
          <w:p>
            <w:pPr>
              <w:jc w:val="center"/>
              <w:spacing w:after="0" w:line="169" w:lineRule="exact"/>
              <w:rPr>
                <w:sz w:val="20"/>
                <w:szCs w:val="20"/>
                <w:color w:val="auto"/>
              </w:rPr>
            </w:pPr>
            <w:r>
              <w:rPr>
                <w:rFonts w:ascii="Calibri" w:cs="Calibri" w:eastAsia="Calibri" w:hAnsi="Calibri"/>
                <w:sz w:val="18"/>
                <w:szCs w:val="18"/>
                <w:b w:val="1"/>
                <w:bCs w:val="1"/>
                <w:color w:val="auto"/>
                <w:w w:val="98"/>
              </w:rPr>
              <w:t>Int’l.</w:t>
            </w:r>
          </w:p>
        </w:tc>
        <w:tc>
          <w:tcPr>
            <w:tcW w:w="240" w:type="dxa"/>
            <w:vAlign w:val="bottom"/>
          </w:tcPr>
          <w:p>
            <w:pPr>
              <w:spacing w:after="0"/>
              <w:rPr>
                <w:sz w:val="14"/>
                <w:szCs w:val="14"/>
                <w:color w:val="auto"/>
              </w:rPr>
            </w:pPr>
          </w:p>
        </w:tc>
        <w:tc>
          <w:tcPr>
            <w:tcW w:w="600" w:type="dxa"/>
            <w:vAlign w:val="bottom"/>
            <w:gridSpan w:val="2"/>
          </w:tcPr>
          <w:p>
            <w:pPr>
              <w:jc w:val="center"/>
              <w:ind w:right="240"/>
              <w:spacing w:after="0" w:line="169" w:lineRule="exact"/>
              <w:rPr>
                <w:sz w:val="20"/>
                <w:szCs w:val="20"/>
                <w:color w:val="auto"/>
              </w:rPr>
            </w:pPr>
            <w:r>
              <w:rPr>
                <w:rFonts w:ascii="Calibri" w:cs="Calibri" w:eastAsia="Calibri" w:hAnsi="Calibri"/>
                <w:sz w:val="18"/>
                <w:szCs w:val="18"/>
                <w:b w:val="1"/>
                <w:bCs w:val="1"/>
                <w:color w:val="auto"/>
                <w:w w:val="94"/>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spacing w:after="0" w:line="169" w:lineRule="exact"/>
              <w:rPr>
                <w:sz w:val="20"/>
                <w:szCs w:val="20"/>
                <w:color w:val="auto"/>
              </w:rPr>
            </w:pPr>
            <w:r>
              <w:rPr>
                <w:rFonts w:ascii="Calibri" w:cs="Calibri" w:eastAsia="Calibri" w:hAnsi="Calibri"/>
                <w:sz w:val="18"/>
                <w:szCs w:val="18"/>
                <w:b w:val="1"/>
                <w:bCs w:val="1"/>
                <w:color w:val="auto"/>
              </w:rPr>
              <w:t>Int’l.</w:t>
            </w:r>
          </w:p>
        </w:tc>
        <w:tc>
          <w:tcPr>
            <w:tcW w:w="300" w:type="dxa"/>
            <w:vAlign w:val="bottom"/>
          </w:tcPr>
          <w:p>
            <w:pPr>
              <w:spacing w:after="0"/>
              <w:rPr>
                <w:sz w:val="14"/>
                <w:szCs w:val="14"/>
                <w:color w:val="auto"/>
              </w:rPr>
            </w:pPr>
          </w:p>
        </w:tc>
        <w:tc>
          <w:tcPr>
            <w:tcW w:w="580" w:type="dxa"/>
            <w:vAlign w:val="bottom"/>
            <w:gridSpan w:val="2"/>
          </w:tcPr>
          <w:p>
            <w:pPr>
              <w:spacing w:after="0" w:line="169" w:lineRule="exact"/>
              <w:rPr>
                <w:sz w:val="20"/>
                <w:szCs w:val="20"/>
                <w:color w:val="auto"/>
              </w:rPr>
            </w:pPr>
            <w:r>
              <w:rPr>
                <w:rFonts w:ascii="Calibri" w:cs="Calibri" w:eastAsia="Calibri" w:hAnsi="Calibri"/>
                <w:sz w:val="18"/>
                <w:szCs w:val="18"/>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720" w:type="dxa"/>
            <w:vAlign w:val="bottom"/>
            <w:vMerge w:val="restart"/>
          </w:tcPr>
          <w:p>
            <w:pPr>
              <w:spacing w:after="0"/>
              <w:rPr>
                <w:sz w:val="20"/>
                <w:szCs w:val="20"/>
                <w:color w:val="auto"/>
              </w:rPr>
            </w:pPr>
            <w:r>
              <w:rPr>
                <w:rFonts w:ascii="Calibri" w:cs="Calibri" w:eastAsia="Calibri" w:hAnsi="Calibri"/>
                <w:sz w:val="18"/>
                <w:szCs w:val="18"/>
                <w:b w:val="1"/>
                <w:bCs w:val="1"/>
                <w:color w:val="auto"/>
              </w:rPr>
              <w:t>NET REVENUES</w:t>
            </w:r>
          </w:p>
        </w:tc>
        <w:tc>
          <w:tcPr>
            <w:tcW w:w="880" w:type="dxa"/>
            <w:vAlign w:val="bottom"/>
            <w:gridSpan w:val="3"/>
            <w:vMerge w:val="restart"/>
          </w:tcPr>
          <w:p>
            <w:pPr>
              <w:jc w:val="right"/>
              <w:ind w:right="100"/>
              <w:spacing w:after="0"/>
              <w:rPr>
                <w:sz w:val="20"/>
                <w:szCs w:val="20"/>
                <w:color w:val="auto"/>
              </w:rPr>
            </w:pPr>
            <w:r>
              <w:rPr>
                <w:rFonts w:ascii="Calibri" w:cs="Calibri" w:eastAsia="Calibri" w:hAnsi="Calibri"/>
                <w:sz w:val="18"/>
                <w:szCs w:val="18"/>
                <w:b w:val="1"/>
                <w:bCs w:val="1"/>
                <w:color w:val="auto"/>
              </w:rPr>
              <w:t>$  45,713</w:t>
            </w:r>
          </w:p>
        </w:tc>
        <w:tc>
          <w:tcPr>
            <w:tcW w:w="960" w:type="dxa"/>
            <w:vAlign w:val="bottom"/>
            <w:gridSpan w:val="3"/>
            <w:vMerge w:val="restart"/>
          </w:tcPr>
          <w:p>
            <w:pPr>
              <w:jc w:val="right"/>
              <w:ind w:right="10"/>
              <w:spacing w:after="0"/>
              <w:rPr>
                <w:sz w:val="20"/>
                <w:szCs w:val="20"/>
                <w:color w:val="auto"/>
              </w:rPr>
            </w:pPr>
            <w:r>
              <w:rPr>
                <w:rFonts w:ascii="Calibri" w:cs="Calibri" w:eastAsia="Calibri" w:hAnsi="Calibri"/>
                <w:sz w:val="18"/>
                <w:szCs w:val="18"/>
                <w:b w:val="1"/>
                <w:bCs w:val="1"/>
                <w:color w:val="auto"/>
              </w:rPr>
              <w:t>$  12,341</w:t>
            </w:r>
          </w:p>
        </w:tc>
        <w:tc>
          <w:tcPr>
            <w:tcW w:w="920" w:type="dxa"/>
            <w:vAlign w:val="bottom"/>
            <w:gridSpan w:val="3"/>
            <w:vMerge w:val="restart"/>
          </w:tcPr>
          <w:p>
            <w:pPr>
              <w:jc w:val="right"/>
              <w:ind w:right="60"/>
              <w:spacing w:after="0"/>
              <w:rPr>
                <w:sz w:val="20"/>
                <w:szCs w:val="20"/>
                <w:color w:val="auto"/>
              </w:rPr>
            </w:pPr>
            <w:r>
              <w:rPr>
                <w:rFonts w:ascii="Calibri" w:cs="Calibri" w:eastAsia="Calibri" w:hAnsi="Calibri"/>
                <w:sz w:val="18"/>
                <w:szCs w:val="18"/>
                <w:b w:val="1"/>
                <w:bCs w:val="1"/>
                <w:color w:val="auto"/>
              </w:rPr>
              <w:t>$  58,054</w:t>
            </w:r>
          </w:p>
        </w:tc>
        <w:tc>
          <w:tcPr>
            <w:tcW w:w="20" w:type="dxa"/>
            <w:vAlign w:val="bottom"/>
          </w:tcPr>
          <w:p>
            <w:pPr>
              <w:spacing w:after="0"/>
              <w:rPr>
                <w:sz w:val="2"/>
                <w:szCs w:val="2"/>
                <w:color w:val="auto"/>
              </w:rPr>
            </w:pPr>
          </w:p>
        </w:tc>
        <w:tc>
          <w:tcPr>
            <w:tcW w:w="940" w:type="dxa"/>
            <w:vAlign w:val="bottom"/>
            <w:gridSpan w:val="4"/>
            <w:vMerge w:val="restart"/>
          </w:tcPr>
          <w:p>
            <w:pPr>
              <w:jc w:val="center"/>
              <w:ind w:left="10"/>
              <w:spacing w:after="0"/>
              <w:rPr>
                <w:sz w:val="20"/>
                <w:szCs w:val="20"/>
                <w:color w:val="auto"/>
              </w:rPr>
            </w:pPr>
            <w:r>
              <w:rPr>
                <w:rFonts w:ascii="Calibri" w:cs="Calibri" w:eastAsia="Calibri" w:hAnsi="Calibri"/>
                <w:sz w:val="18"/>
                <w:szCs w:val="18"/>
                <w:b w:val="1"/>
                <w:bCs w:val="1"/>
                <w:color w:val="auto"/>
                <w:w w:val="99"/>
              </w:rPr>
              <w:t>5.1%</w:t>
            </w:r>
          </w:p>
        </w:tc>
        <w:tc>
          <w:tcPr>
            <w:tcW w:w="1040" w:type="dxa"/>
            <w:vAlign w:val="bottom"/>
            <w:gridSpan w:val="3"/>
            <w:vMerge w:val="restart"/>
          </w:tcPr>
          <w:p>
            <w:pPr>
              <w:jc w:val="center"/>
              <w:spacing w:after="0"/>
              <w:rPr>
                <w:sz w:val="20"/>
                <w:szCs w:val="20"/>
                <w:color w:val="auto"/>
              </w:rPr>
            </w:pPr>
            <w:r>
              <w:rPr>
                <w:rFonts w:ascii="Calibri" w:cs="Calibri" w:eastAsia="Calibri" w:hAnsi="Calibri"/>
                <w:sz w:val="18"/>
                <w:szCs w:val="18"/>
                <w:b w:val="1"/>
                <w:bCs w:val="1"/>
                <w:color w:val="auto"/>
              </w:rPr>
              <w:t>(2.7)%</w:t>
            </w:r>
          </w:p>
        </w:tc>
        <w:tc>
          <w:tcPr>
            <w:tcW w:w="840" w:type="dxa"/>
            <w:vAlign w:val="bottom"/>
            <w:gridSpan w:val="3"/>
            <w:vMerge w:val="restart"/>
          </w:tcPr>
          <w:p>
            <w:pPr>
              <w:jc w:val="center"/>
              <w:spacing w:after="0"/>
              <w:rPr>
                <w:sz w:val="20"/>
                <w:szCs w:val="20"/>
                <w:color w:val="auto"/>
              </w:rPr>
            </w:pPr>
            <w:r>
              <w:rPr>
                <w:rFonts w:ascii="Calibri" w:cs="Calibri" w:eastAsia="Calibri" w:hAnsi="Calibri"/>
                <w:sz w:val="18"/>
                <w:szCs w:val="18"/>
                <w:b w:val="1"/>
                <w:bCs w:val="1"/>
                <w:color w:val="auto"/>
                <w:w w:val="99"/>
              </w:rPr>
              <w:t>3.3%</w:t>
            </w:r>
          </w:p>
        </w:tc>
        <w:tc>
          <w:tcPr>
            <w:tcW w:w="20" w:type="dxa"/>
            <w:vAlign w:val="bottom"/>
          </w:tcPr>
          <w:p>
            <w:pPr>
              <w:spacing w:after="0"/>
              <w:rPr>
                <w:sz w:val="2"/>
                <w:szCs w:val="2"/>
                <w:color w:val="auto"/>
              </w:rPr>
            </w:pPr>
          </w:p>
        </w:tc>
        <w:tc>
          <w:tcPr>
            <w:tcW w:w="960" w:type="dxa"/>
            <w:vAlign w:val="bottom"/>
            <w:gridSpan w:val="4"/>
            <w:vMerge w:val="restart"/>
          </w:tcPr>
          <w:p>
            <w:pPr>
              <w:jc w:val="center"/>
              <w:spacing w:after="0"/>
              <w:rPr>
                <w:sz w:val="20"/>
                <w:szCs w:val="20"/>
                <w:color w:val="auto"/>
              </w:rPr>
            </w:pPr>
            <w:r>
              <w:rPr>
                <w:rFonts w:ascii="Calibri" w:cs="Calibri" w:eastAsia="Calibri" w:hAnsi="Calibri"/>
                <w:sz w:val="18"/>
                <w:szCs w:val="18"/>
                <w:b w:val="1"/>
                <w:bCs w:val="1"/>
                <w:color w:val="auto"/>
                <w:w w:val="99"/>
              </w:rPr>
              <w:t>5.5%</w:t>
            </w:r>
          </w:p>
        </w:tc>
        <w:tc>
          <w:tcPr>
            <w:tcW w:w="880" w:type="dxa"/>
            <w:vAlign w:val="bottom"/>
            <w:gridSpan w:val="3"/>
            <w:vMerge w:val="restart"/>
          </w:tcPr>
          <w:p>
            <w:pPr>
              <w:jc w:val="center"/>
              <w:spacing w:after="0"/>
              <w:rPr>
                <w:sz w:val="20"/>
                <w:szCs w:val="20"/>
                <w:color w:val="auto"/>
              </w:rPr>
            </w:pPr>
            <w:r>
              <w:rPr>
                <w:rFonts w:ascii="Calibri" w:cs="Calibri" w:eastAsia="Calibri" w:hAnsi="Calibri"/>
                <w:sz w:val="18"/>
                <w:szCs w:val="18"/>
                <w:b w:val="1"/>
                <w:bCs w:val="1"/>
                <w:color w:val="auto"/>
                <w:w w:val="93"/>
              </w:rPr>
              <w:t>5.1%</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2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Immunology</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24,897</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4,027</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28,924</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b w:val="1"/>
                <w:bCs w:val="1"/>
                <w:color w:val="auto"/>
                <w:w w:val="99"/>
              </w:rPr>
              <w:t>18.1</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w w:val="93"/>
              </w:rPr>
              <w:t>(4.0)</w:t>
            </w:r>
          </w:p>
        </w:tc>
        <w:tc>
          <w:tcPr>
            <w:tcW w:w="340" w:type="dxa"/>
            <w:vAlign w:val="bottom"/>
          </w:tcPr>
          <w:p>
            <w:pPr>
              <w:spacing w:after="0"/>
              <w:rPr>
                <w:sz w:val="24"/>
                <w:szCs w:val="24"/>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b w:val="1"/>
                <w:bCs w:val="1"/>
                <w:color w:val="auto"/>
                <w:w w:val="99"/>
              </w:rPr>
              <w:t>14.4</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b w:val="1"/>
                <w:bCs w:val="1"/>
                <w:color w:val="auto"/>
              </w:rPr>
              <w:t>5.7</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b w:val="1"/>
                <w:bCs w:val="1"/>
                <w:color w:val="auto"/>
                <w:w w:val="93"/>
              </w:rPr>
              <w:t>16.0</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Humira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18,619</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2,618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21,237</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7.4</w:t>
            </w:r>
          </w:p>
        </w:tc>
        <w:tc>
          <w:tcPr>
            <w:tcW w:w="28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(22.2)</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2.6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Calibri" w:cs="Calibri" w:eastAsia="Calibri" w:hAnsi="Calibri"/>
                <w:sz w:val="18"/>
                <w:szCs w:val="18"/>
                <w:color w:val="auto"/>
                <w:w w:val="97"/>
              </w:rPr>
              <w:t>(14.9)</w:t>
            </w: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6"/>
              </w:rPr>
              <w:t>3.8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Skyrizi</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4,484</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681</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5,165</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80.4</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50.4</w:t>
            </w:r>
          </w:p>
        </w:tc>
        <w:tc>
          <w:tcPr>
            <w:tcW w:w="340" w:type="dxa"/>
            <w:vAlign w:val="bottom"/>
          </w:tcPr>
          <w:p>
            <w:pPr>
              <w:spacing w:after="0"/>
              <w:rPr>
                <w:sz w:val="19"/>
                <w:szCs w:val="19"/>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75.7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67.1</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3"/>
              </w:rPr>
              <w:t>78.3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Rinvoq</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1,794</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728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2,522</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41.2</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91.4</w:t>
            </w:r>
          </w:p>
        </w:tc>
        <w:tc>
          <w:tcPr>
            <w:tcW w:w="340" w:type="dxa"/>
            <w:vAlign w:val="bottom"/>
          </w:tcPr>
          <w:p>
            <w:pPr>
              <w:spacing w:after="0"/>
              <w:rPr>
                <w:sz w:val="19"/>
                <w:szCs w:val="19"/>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52.8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Calibri" w:cs="Calibri" w:eastAsia="Calibri" w:hAnsi="Calibri"/>
                <w:sz w:val="18"/>
                <w:szCs w:val="18"/>
                <w:color w:val="auto"/>
                <w:w w:val="95"/>
              </w:rPr>
              <w:t>&gt;100.0</w:t>
            </w: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3"/>
              </w:rPr>
              <w:t>58.1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Hematologic Oncology</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4,435</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2,142</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6,577</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6"/>
              </w:rPr>
              <w:t>(15.6)</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rPr>
              <w:t>8.6</w:t>
            </w:r>
          </w:p>
        </w:tc>
        <w:tc>
          <w:tcPr>
            <w:tcW w:w="340" w:type="dxa"/>
            <w:vAlign w:val="bottom"/>
          </w:tcPr>
          <w:p>
            <w:pPr>
              <w:spacing w:after="0"/>
              <w:rPr>
                <w:sz w:val="24"/>
                <w:szCs w:val="24"/>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b w:val="1"/>
                <w:bCs w:val="1"/>
                <w:color w:val="auto"/>
                <w:w w:val="99"/>
              </w:rPr>
              <w:t>(9.0)</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b w:val="1"/>
                <w:bCs w:val="1"/>
                <w:color w:val="auto"/>
                <w:w w:val="99"/>
              </w:rPr>
              <w:t>13.9</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b w:val="1"/>
                <w:bCs w:val="1"/>
                <w:color w:val="auto"/>
                <w:w w:val="99"/>
              </w:rPr>
              <w:t>(7.6)</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720" w:type="dxa"/>
            <w:vAlign w:val="bottom"/>
          </w:tcPr>
          <w:p>
            <w:pPr>
              <w:ind w:left="200"/>
              <w:spacing w:after="0" w:line="244" w:lineRule="exact"/>
              <w:rPr>
                <w:sz w:val="20"/>
                <w:szCs w:val="20"/>
                <w:color w:val="auto"/>
              </w:rPr>
            </w:pPr>
            <w:r>
              <w:rPr>
                <w:rFonts w:ascii="Calibri" w:cs="Calibri" w:eastAsia="Calibri" w:hAnsi="Calibri"/>
                <w:sz w:val="18"/>
                <w:szCs w:val="18"/>
                <w:color w:val="auto"/>
              </w:rPr>
              <w:t>Imbruvica</w:t>
            </w:r>
            <w:r>
              <w:rPr>
                <w:rFonts w:ascii="Calibri" w:cs="Calibri" w:eastAsia="Calibri" w:hAnsi="Calibri"/>
                <w:sz w:val="23"/>
                <w:szCs w:val="23"/>
                <w:color w:val="auto"/>
                <w:vertAlign w:val="superscript"/>
              </w:rPr>
              <w:t>b</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3,426</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1,142</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4,568</w:t>
            </w:r>
          </w:p>
        </w:tc>
        <w:tc>
          <w:tcPr>
            <w:tcW w:w="20" w:type="dxa"/>
            <w:vAlign w:val="bottom"/>
            <w:shd w:val="clear" w:color="auto" w:fill="000000"/>
          </w:tcPr>
          <w:p>
            <w:pPr>
              <w:spacing w:after="0"/>
              <w:rPr>
                <w:sz w:val="21"/>
                <w:szCs w:val="21"/>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(20.7)</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5.1</w:t>
            </w:r>
          </w:p>
        </w:tc>
        <w:tc>
          <w:tcPr>
            <w:tcW w:w="340" w:type="dxa"/>
            <w:vAlign w:val="bottom"/>
          </w:tcPr>
          <w:p>
            <w:pPr>
              <w:spacing w:after="0"/>
              <w:rPr>
                <w:sz w:val="21"/>
                <w:szCs w:val="21"/>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(15.5)</w:t>
            </w:r>
          </w:p>
        </w:tc>
        <w:tc>
          <w:tcPr>
            <w:tcW w:w="20" w:type="dxa"/>
            <w:vAlign w:val="bottom"/>
            <w:shd w:val="clear" w:color="auto" w:fill="000000"/>
          </w:tcPr>
          <w:p>
            <w:pPr>
              <w:spacing w:after="0"/>
              <w:rPr>
                <w:sz w:val="21"/>
                <w:szCs w:val="21"/>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5.1</w:t>
            </w:r>
          </w:p>
        </w:tc>
        <w:tc>
          <w:tcPr>
            <w:tcW w:w="30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Calibri" w:cs="Calibri" w:eastAsia="Calibri" w:hAnsi="Calibri"/>
                <w:sz w:val="18"/>
                <w:szCs w:val="18"/>
                <w:color w:val="auto"/>
                <w:w w:val="97"/>
              </w:rPr>
              <w:t>(15.5)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20" w:type="dxa"/>
            <w:vAlign w:val="bottom"/>
          </w:tcPr>
          <w:p>
            <w:pPr>
              <w:ind w:left="200"/>
              <w:spacing w:after="0" w:line="215" w:lineRule="exact"/>
              <w:rPr>
                <w:sz w:val="20"/>
                <w:szCs w:val="20"/>
                <w:color w:val="auto"/>
              </w:rPr>
            </w:pPr>
            <w:r>
              <w:rPr>
                <w:rFonts w:ascii="Calibri" w:cs="Calibri" w:eastAsia="Calibri" w:hAnsi="Calibri"/>
                <w:sz w:val="18"/>
                <w:szCs w:val="18"/>
                <w:color w:val="auto"/>
              </w:rPr>
              <w:t>Venclexta</w:t>
            </w:r>
          </w:p>
        </w:tc>
        <w:tc>
          <w:tcPr>
            <w:tcW w:w="88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1,009</w:t>
            </w:r>
          </w:p>
        </w:tc>
        <w:tc>
          <w:tcPr>
            <w:tcW w:w="960" w:type="dxa"/>
            <w:vAlign w:val="bottom"/>
            <w:gridSpan w:val="3"/>
          </w:tcPr>
          <w:p>
            <w:pPr>
              <w:jc w:val="right"/>
              <w:ind w:right="10"/>
              <w:spacing w:after="0" w:line="215" w:lineRule="exact"/>
              <w:rPr>
                <w:sz w:val="20"/>
                <w:szCs w:val="20"/>
                <w:color w:val="auto"/>
              </w:rPr>
            </w:pPr>
            <w:r>
              <w:rPr>
                <w:rFonts w:ascii="Calibri" w:cs="Calibri" w:eastAsia="Calibri" w:hAnsi="Calibri"/>
                <w:sz w:val="18"/>
                <w:szCs w:val="18"/>
                <w:color w:val="auto"/>
              </w:rPr>
              <w:t>1,000</w:t>
            </w:r>
          </w:p>
        </w:tc>
        <w:tc>
          <w:tcPr>
            <w:tcW w:w="92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2,009</w:t>
            </w:r>
          </w:p>
        </w:tc>
        <w:tc>
          <w:tcPr>
            <w:tcW w:w="20" w:type="dxa"/>
            <w:vAlign w:val="bottom"/>
            <w:shd w:val="clear" w:color="auto" w:fill="000000"/>
          </w:tcPr>
          <w:p>
            <w:pPr>
              <w:spacing w:after="0"/>
              <w:rPr>
                <w:sz w:val="18"/>
                <w:szCs w:val="18"/>
                <w:color w:val="auto"/>
              </w:rPr>
            </w:pPr>
          </w:p>
        </w:tc>
        <w:tc>
          <w:tcPr>
            <w:tcW w:w="660" w:type="dxa"/>
            <w:vAlign w:val="bottom"/>
            <w:gridSpan w:val="3"/>
          </w:tcPr>
          <w:p>
            <w:pPr>
              <w:jc w:val="center"/>
              <w:ind w:left="270"/>
              <w:spacing w:after="0" w:line="215" w:lineRule="exact"/>
              <w:rPr>
                <w:sz w:val="20"/>
                <w:szCs w:val="20"/>
                <w:color w:val="auto"/>
              </w:rPr>
            </w:pPr>
            <w:r>
              <w:rPr>
                <w:rFonts w:ascii="Calibri" w:cs="Calibri" w:eastAsia="Calibri" w:hAnsi="Calibri"/>
                <w:sz w:val="18"/>
                <w:szCs w:val="18"/>
                <w:color w:val="auto"/>
                <w:w w:val="96"/>
              </w:rPr>
              <w:t>8.0</w:t>
            </w:r>
          </w:p>
        </w:tc>
        <w:tc>
          <w:tcPr>
            <w:tcW w:w="280" w:type="dxa"/>
            <w:vAlign w:val="bottom"/>
          </w:tcPr>
          <w:p>
            <w:pPr>
              <w:spacing w:after="0"/>
              <w:rPr>
                <w:sz w:val="18"/>
                <w:szCs w:val="18"/>
                <w:color w:val="auto"/>
              </w:rPr>
            </w:pPr>
          </w:p>
        </w:tc>
        <w:tc>
          <w:tcPr>
            <w:tcW w:w="7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rPr>
              <w:t>12.9</w:t>
            </w:r>
          </w:p>
        </w:tc>
        <w:tc>
          <w:tcPr>
            <w:tcW w:w="340" w:type="dxa"/>
            <w:vAlign w:val="bottom"/>
          </w:tcPr>
          <w:p>
            <w:pPr>
              <w:spacing w:after="0"/>
              <w:rPr>
                <w:sz w:val="18"/>
                <w:szCs w:val="18"/>
                <w:color w:val="auto"/>
              </w:rPr>
            </w:pPr>
          </w:p>
        </w:tc>
        <w:tc>
          <w:tcPr>
            <w:tcW w:w="600" w:type="dxa"/>
            <w:vAlign w:val="bottom"/>
            <w:gridSpan w:val="2"/>
          </w:tcPr>
          <w:p>
            <w:pPr>
              <w:jc w:val="center"/>
              <w:ind w:left="150"/>
              <w:spacing w:after="0" w:line="215" w:lineRule="exact"/>
              <w:rPr>
                <w:sz w:val="20"/>
                <w:szCs w:val="20"/>
                <w:color w:val="auto"/>
              </w:rPr>
            </w:pPr>
            <w:r>
              <w:rPr>
                <w:rFonts w:ascii="Calibri" w:cs="Calibri" w:eastAsia="Calibri" w:hAnsi="Calibri"/>
                <w:sz w:val="18"/>
                <w:szCs w:val="18"/>
                <w:color w:val="auto"/>
              </w:rPr>
              <w:t>10.4</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60" w:type="dxa"/>
            <w:vAlign w:val="bottom"/>
            <w:gridSpan w:val="3"/>
          </w:tcPr>
          <w:p>
            <w:pPr>
              <w:jc w:val="center"/>
              <w:ind w:left="250"/>
              <w:spacing w:after="0" w:line="215" w:lineRule="exact"/>
              <w:rPr>
                <w:sz w:val="20"/>
                <w:szCs w:val="20"/>
                <w:color w:val="auto"/>
              </w:rPr>
            </w:pPr>
            <w:r>
              <w:rPr>
                <w:rFonts w:ascii="Calibri" w:cs="Calibri" w:eastAsia="Calibri" w:hAnsi="Calibri"/>
                <w:sz w:val="18"/>
                <w:szCs w:val="18"/>
                <w:color w:val="auto"/>
              </w:rPr>
              <w:t>24.6</w:t>
            </w:r>
          </w:p>
        </w:tc>
        <w:tc>
          <w:tcPr>
            <w:tcW w:w="300" w:type="dxa"/>
            <w:vAlign w:val="bottom"/>
          </w:tcPr>
          <w:p>
            <w:pPr>
              <w:spacing w:after="0"/>
              <w:rPr>
                <w:sz w:val="18"/>
                <w:szCs w:val="18"/>
                <w:color w:val="auto"/>
              </w:rPr>
            </w:pPr>
          </w:p>
        </w:tc>
        <w:tc>
          <w:tcPr>
            <w:tcW w:w="640" w:type="dxa"/>
            <w:vAlign w:val="bottom"/>
            <w:gridSpan w:val="2"/>
          </w:tcPr>
          <w:p>
            <w:pPr>
              <w:jc w:val="center"/>
              <w:ind w:left="210"/>
              <w:spacing w:after="0" w:line="215" w:lineRule="exact"/>
              <w:rPr>
                <w:sz w:val="20"/>
                <w:szCs w:val="20"/>
                <w:color w:val="auto"/>
              </w:rPr>
            </w:pPr>
            <w:r>
              <w:rPr>
                <w:rFonts w:ascii="Calibri" w:cs="Calibri" w:eastAsia="Calibri" w:hAnsi="Calibri"/>
                <w:sz w:val="18"/>
                <w:szCs w:val="18"/>
                <w:color w:val="auto"/>
                <w:w w:val="93"/>
              </w:rPr>
              <w:t>16.1</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Aesthetcs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3,324</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2,009</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5,333</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9"/>
              </w:rPr>
              <w:t>(0.8)</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rPr>
              <w:t>6.7</w:t>
            </w:r>
          </w:p>
        </w:tc>
        <w:tc>
          <w:tcPr>
            <w:tcW w:w="340" w:type="dxa"/>
            <w:vAlign w:val="bottom"/>
          </w:tcPr>
          <w:p>
            <w:pPr>
              <w:spacing w:after="0"/>
              <w:rPr>
                <w:sz w:val="24"/>
                <w:szCs w:val="24"/>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b w:val="1"/>
                <w:bCs w:val="1"/>
                <w:color w:val="auto"/>
                <w:w w:val="95"/>
              </w:rPr>
              <w:t>1.9</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b w:val="1"/>
                <w:bCs w:val="1"/>
                <w:color w:val="auto"/>
                <w:w w:val="99"/>
              </w:rPr>
              <w:t>15.6</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b w:val="1"/>
                <w:bCs w:val="1"/>
                <w:color w:val="auto"/>
                <w:w w:val="95"/>
              </w:rPr>
              <w:t>5.1</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Botox Cosmetc</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1,654</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961</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2,615</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16.2</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18.9</w:t>
            </w:r>
          </w:p>
        </w:tc>
        <w:tc>
          <w:tcPr>
            <w:tcW w:w="340" w:type="dxa"/>
            <w:vAlign w:val="bottom"/>
          </w:tcPr>
          <w:p>
            <w:pPr>
              <w:spacing w:after="0"/>
              <w:rPr>
                <w:sz w:val="19"/>
                <w:szCs w:val="19"/>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17.2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28.8</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3"/>
              </w:rPr>
              <w:t>20.8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Juvederm Collecton</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548</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880</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1,428</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(16.7)</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0.3</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rPr>
              <w:t>(7.0)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8.9</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rPr>
              <w:t>(2.1)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Other Aesthetcs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1,122</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168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1,290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(11.5)</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(14.9)</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(12.0)</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w w:val="94"/>
              </w:rPr>
              <w:t>(8.3)</w:t>
            </w:r>
          </w:p>
        </w:tc>
        <w:tc>
          <w:tcPr>
            <w:tcW w:w="30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Calibri" w:cs="Calibri" w:eastAsia="Calibri" w:hAnsi="Calibri"/>
                <w:sz w:val="18"/>
                <w:szCs w:val="18"/>
                <w:color w:val="auto"/>
                <w:w w:val="97"/>
              </w:rPr>
              <w:t>(11.1)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Neuroscience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5,681</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847</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6,528</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b w:val="1"/>
                <w:bCs w:val="1"/>
                <w:color w:val="auto"/>
                <w:w w:val="99"/>
              </w:rPr>
              <w:t>12.3</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w w:val="93"/>
              </w:rPr>
              <w:t>(2.3)</w:t>
            </w:r>
          </w:p>
        </w:tc>
        <w:tc>
          <w:tcPr>
            <w:tcW w:w="340" w:type="dxa"/>
            <w:vAlign w:val="bottom"/>
          </w:tcPr>
          <w:p>
            <w:pPr>
              <w:spacing w:after="0"/>
              <w:rPr>
                <w:sz w:val="24"/>
                <w:szCs w:val="24"/>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b w:val="1"/>
                <w:bCs w:val="1"/>
                <w:color w:val="auto"/>
                <w:w w:val="99"/>
              </w:rPr>
              <w:t>10.1</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b w:val="1"/>
                <w:bCs w:val="1"/>
                <w:color w:val="auto"/>
              </w:rPr>
              <w:t>7.7</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b w:val="1"/>
                <w:bCs w:val="1"/>
                <w:color w:val="auto"/>
                <w:w w:val="93"/>
              </w:rPr>
              <w:t>11.6</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Botox Therapeutc</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2,255</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464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2,719</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12.1</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5.6</w:t>
            </w:r>
          </w:p>
        </w:tc>
        <w:tc>
          <w:tcPr>
            <w:tcW w:w="340" w:type="dxa"/>
            <w:vAlign w:val="bottom"/>
          </w:tcPr>
          <w:p>
            <w:pPr>
              <w:spacing w:after="0"/>
              <w:rPr>
                <w:sz w:val="19"/>
                <w:szCs w:val="19"/>
                <w:color w:val="auto"/>
              </w:rPr>
            </w:pP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10.9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15.3</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3"/>
              </w:rPr>
              <w:t>12.6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Vraylar</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2,037</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2,038</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17.9</w:t>
            </w: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17.9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3"/>
              </w:rPr>
              <w:t>17.9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Duodopa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95</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363</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458</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4"/>
              </w:rPr>
              <w:t>(6.7)</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(11.3)</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(10.4)</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w w:val="94"/>
              </w:rPr>
              <w:t>(0.8)</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rPr>
              <w:t>(2.0)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Ubrelvy</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680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w w:val="97"/>
              </w:rPr>
              <w:t>—</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680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rPr>
              <w:t>23.2</w:t>
            </w: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600" w:type="dxa"/>
            <w:vAlign w:val="bottom"/>
            <w:gridSpan w:val="2"/>
          </w:tcPr>
          <w:p>
            <w:pPr>
              <w:jc w:val="center"/>
              <w:ind w:left="150"/>
              <w:spacing w:after="0"/>
              <w:rPr>
                <w:sz w:val="20"/>
                <w:szCs w:val="20"/>
                <w:color w:val="auto"/>
              </w:rPr>
            </w:pPr>
            <w:r>
              <w:rPr>
                <w:rFonts w:ascii="Calibri" w:cs="Calibri" w:eastAsia="Calibri" w:hAnsi="Calibri"/>
                <w:sz w:val="18"/>
                <w:szCs w:val="18"/>
                <w:color w:val="auto"/>
              </w:rPr>
              <w:t>23.3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3"/>
              </w:rPr>
              <w:t>23.3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Qulipta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158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w w:val="97"/>
              </w:rPr>
              <w:t>—</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158</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5"/>
              </w:rPr>
              <w:t>&gt;100.0</w:t>
            </w: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9"/>
              </w:rPr>
              <w:t>&gt;100.0</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880" w:type="dxa"/>
            <w:vAlign w:val="bottom"/>
            <w:gridSpan w:val="3"/>
          </w:tcPr>
          <w:p>
            <w:pPr>
              <w:jc w:val="center"/>
              <w:spacing w:after="0"/>
              <w:rPr>
                <w:sz w:val="20"/>
                <w:szCs w:val="20"/>
                <w:color w:val="auto"/>
              </w:rPr>
            </w:pPr>
            <w:r>
              <w:rPr>
                <w:rFonts w:ascii="Calibri" w:cs="Calibri" w:eastAsia="Calibri" w:hAnsi="Calibri"/>
                <w:sz w:val="18"/>
                <w:szCs w:val="18"/>
                <w:color w:val="auto"/>
                <w:w w:val="99"/>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Other Neuroscience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456</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19</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475</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(30.5)</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4.8</w:t>
            </w:r>
          </w:p>
        </w:tc>
        <w:tc>
          <w:tcPr>
            <w:tcW w:w="3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(29.6)</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9.0</w:t>
            </w:r>
          </w:p>
        </w:tc>
        <w:tc>
          <w:tcPr>
            <w:tcW w:w="30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Calibri" w:cs="Calibri" w:eastAsia="Calibri" w:hAnsi="Calibri"/>
                <w:sz w:val="18"/>
                <w:szCs w:val="18"/>
                <w:color w:val="auto"/>
                <w:w w:val="97"/>
              </w:rPr>
              <w:t>(29.5)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Eye Care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1,603</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1,098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2,701</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6"/>
              </w:rPr>
              <w:t>(33.3)</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w w:val="93"/>
              </w:rPr>
              <w:t>(5.7)</w:t>
            </w:r>
          </w:p>
        </w:tc>
        <w:tc>
          <w:tcPr>
            <w:tcW w:w="3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(24.3)</w:t>
            </w: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b w:val="1"/>
                <w:bCs w:val="1"/>
                <w:color w:val="auto"/>
              </w:rPr>
              <w:t>3.7</w:t>
            </w:r>
          </w:p>
        </w:tc>
        <w:tc>
          <w:tcPr>
            <w:tcW w:w="30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(21.2)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Lumigan/Ganfort</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242</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272</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514</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(11.0)</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(11.3)</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(11.2)</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w w:val="94"/>
              </w:rPr>
              <w:t>(3.0)</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rPr>
              <w:t>(6.8)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0"/>
              <w:spacing w:after="0"/>
              <w:rPr>
                <w:sz w:val="20"/>
                <w:szCs w:val="20"/>
                <w:color w:val="auto"/>
              </w:rPr>
            </w:pPr>
            <w:r>
              <w:rPr>
                <w:rFonts w:ascii="Calibri" w:cs="Calibri" w:eastAsia="Calibri" w:hAnsi="Calibri"/>
                <w:sz w:val="18"/>
                <w:szCs w:val="18"/>
                <w:color w:val="auto"/>
              </w:rPr>
              <w:t>Alphagan/Combigan</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202</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144</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346</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(45.8)</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4"/>
              </w:rPr>
              <w:t>(7.9)</w:t>
            </w:r>
          </w:p>
        </w:tc>
        <w:tc>
          <w:tcPr>
            <w:tcW w:w="3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(34.6)</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2.5</w:t>
            </w:r>
          </w:p>
        </w:tc>
        <w:tc>
          <w:tcPr>
            <w:tcW w:w="30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Calibri" w:cs="Calibri" w:eastAsia="Calibri" w:hAnsi="Calibri"/>
                <w:sz w:val="18"/>
                <w:szCs w:val="18"/>
                <w:color w:val="auto"/>
                <w:w w:val="97"/>
              </w:rPr>
              <w:t>(31.5)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Restasis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621</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45</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666</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Calibri" w:cs="Calibri" w:eastAsia="Calibri" w:hAnsi="Calibri"/>
                <w:sz w:val="18"/>
                <w:szCs w:val="18"/>
                <w:color w:val="auto"/>
                <w:w w:val="97"/>
              </w:rPr>
              <w:t>(49.6)</w:t>
            </w: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(20.2)</w:t>
            </w:r>
          </w:p>
        </w:tc>
        <w:tc>
          <w:tcPr>
            <w:tcW w:w="840" w:type="dxa"/>
            <w:vAlign w:val="bottom"/>
            <w:gridSpan w:val="3"/>
          </w:tcPr>
          <w:p>
            <w:pPr>
              <w:jc w:val="center"/>
              <w:spacing w:after="0"/>
              <w:rPr>
                <w:sz w:val="20"/>
                <w:szCs w:val="20"/>
                <w:color w:val="auto"/>
              </w:rPr>
            </w:pPr>
            <w:r>
              <w:rPr>
                <w:rFonts w:ascii="Calibri" w:cs="Calibri" w:eastAsia="Calibri" w:hAnsi="Calibri"/>
                <w:sz w:val="18"/>
                <w:szCs w:val="18"/>
                <w:color w:val="auto"/>
                <w:w w:val="97"/>
              </w:rPr>
              <w:t>(48.3)</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Calibri" w:cs="Calibri" w:eastAsia="Calibri" w:hAnsi="Calibri"/>
                <w:sz w:val="18"/>
                <w:szCs w:val="18"/>
                <w:color w:val="auto"/>
                <w:w w:val="97"/>
              </w:rPr>
              <w:t>(13.8)</w:t>
            </w:r>
          </w:p>
        </w:tc>
        <w:tc>
          <w:tcPr>
            <w:tcW w:w="880" w:type="dxa"/>
            <w:vAlign w:val="bottom"/>
            <w:gridSpan w:val="3"/>
          </w:tcPr>
          <w:p>
            <w:pPr>
              <w:jc w:val="center"/>
              <w:spacing w:after="0"/>
              <w:rPr>
                <w:sz w:val="20"/>
                <w:szCs w:val="20"/>
                <w:color w:val="auto"/>
              </w:rPr>
            </w:pPr>
            <w:r>
              <w:rPr>
                <w:rFonts w:ascii="Calibri" w:cs="Calibri" w:eastAsia="Calibri" w:hAnsi="Calibri"/>
                <w:sz w:val="18"/>
                <w:szCs w:val="18"/>
                <w:color w:val="auto"/>
                <w:w w:val="97"/>
              </w:rPr>
              <w:t>(48.0)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Other Eye Care</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538</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637</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1,175</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2.3</w:t>
            </w:r>
          </w:p>
        </w:tc>
        <w:tc>
          <w:tcPr>
            <w:tcW w:w="280" w:type="dxa"/>
            <w:vAlign w:val="bottom"/>
          </w:tcPr>
          <w:p>
            <w:pPr>
              <w:spacing w:after="0"/>
              <w:rPr>
                <w:sz w:val="19"/>
                <w:szCs w:val="19"/>
                <w:color w:val="auto"/>
              </w:rPr>
            </w:pP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4"/>
              </w:rPr>
              <w:t>(1.2)</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0.4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8.7</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6"/>
              </w:rPr>
              <w:t>5.9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0"/>
                <w:szCs w:val="20"/>
                <w:color w:val="auto"/>
              </w:rPr>
            </w:pPr>
            <w:r>
              <w:rPr>
                <w:rFonts w:ascii="Calibri" w:cs="Calibri" w:eastAsia="Calibri" w:hAnsi="Calibri"/>
                <w:sz w:val="18"/>
                <w:szCs w:val="18"/>
                <w:b w:val="1"/>
                <w:bCs w:val="1"/>
                <w:color w:val="auto"/>
              </w:rPr>
              <w:t>Other Key Products</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3,036</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818</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rPr>
              <w:t>3,854</w:t>
            </w: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90"/>
              <w:spacing w:after="0"/>
              <w:rPr>
                <w:sz w:val="20"/>
                <w:szCs w:val="20"/>
                <w:color w:val="auto"/>
              </w:rPr>
            </w:pPr>
            <w:r>
              <w:rPr>
                <w:rFonts w:ascii="Calibri" w:cs="Calibri" w:eastAsia="Calibri" w:hAnsi="Calibri"/>
                <w:sz w:val="18"/>
                <w:szCs w:val="18"/>
                <w:b w:val="1"/>
                <w:bCs w:val="1"/>
                <w:color w:val="auto"/>
              </w:rPr>
              <w:t>2.9</w:t>
            </w:r>
          </w:p>
        </w:tc>
        <w:tc>
          <w:tcPr>
            <w:tcW w:w="28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rPr>
              <w:t>(17.2)</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b w:val="1"/>
                <w:bCs w:val="1"/>
                <w:color w:val="auto"/>
                <w:w w:val="99"/>
              </w:rPr>
              <w:t>(2.2)</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b w:val="1"/>
                <w:bCs w:val="1"/>
                <w:color w:val="auto"/>
                <w:w w:val="93"/>
              </w:rPr>
              <w:t>(7.9)</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b w:val="1"/>
                <w:bCs w:val="1"/>
                <w:color w:val="auto"/>
                <w:w w:val="95"/>
              </w:rPr>
              <w:t>0.1</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Mavyret</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755</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786</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1,541</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0.2</w:t>
            </w:r>
          </w:p>
        </w:tc>
        <w:tc>
          <w:tcPr>
            <w:tcW w:w="28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8"/>
                <w:szCs w:val="18"/>
                <w:color w:val="auto"/>
                <w:w w:val="97"/>
              </w:rPr>
              <w:t>(17.8)</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rPr>
              <w:t>(9.9)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w w:val="94"/>
              </w:rPr>
              <w:t>(8.5)</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rPr>
              <w:t>(4.7)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Creon</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1,278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w w:val="97"/>
              </w:rPr>
              <w:t>—</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1,278</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6"/>
              </w:rPr>
              <w:t>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center"/>
              <w:ind w:right="250"/>
              <w:spacing w:after="0"/>
              <w:rPr>
                <w:sz w:val="20"/>
                <w:szCs w:val="20"/>
                <w:color w:val="auto"/>
              </w:rPr>
            </w:pPr>
            <w:r>
              <w:rPr>
                <w:rFonts w:ascii="Calibri" w:cs="Calibri" w:eastAsia="Calibri" w:hAnsi="Calibri"/>
                <w:sz w:val="18"/>
                <w:szCs w:val="18"/>
                <w:color w:val="auto"/>
                <w:w w:val="97"/>
              </w:rPr>
              <w:t>n/m</w:t>
            </w: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w w:val="96"/>
              </w:rPr>
              <w:t>7.3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Calibri" w:cs="Calibri" w:eastAsia="Calibri" w:hAnsi="Calibri"/>
                <w:sz w:val="18"/>
                <w:szCs w:val="18"/>
                <w:color w:val="auto"/>
              </w:rPr>
              <w:t>n/m</w:t>
            </w: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w w:val="96"/>
              </w:rPr>
              <w:t>7.3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Calibri" w:cs="Calibri" w:eastAsia="Calibri" w:hAnsi="Calibri"/>
                <w:sz w:val="18"/>
                <w:szCs w:val="18"/>
                <w:color w:val="auto"/>
              </w:rPr>
              <w:t>Linzess/Constella</w:t>
            </w:r>
          </w:p>
        </w:tc>
        <w:tc>
          <w:tcPr>
            <w:tcW w:w="880" w:type="dxa"/>
            <w:vAlign w:val="bottom"/>
            <w:gridSpan w:val="3"/>
          </w:tcPr>
          <w:p>
            <w:pPr>
              <w:jc w:val="right"/>
              <w:ind w:right="100"/>
              <w:spacing w:after="0"/>
              <w:rPr>
                <w:sz w:val="20"/>
                <w:szCs w:val="20"/>
                <w:color w:val="auto"/>
              </w:rPr>
            </w:pPr>
            <w:r>
              <w:rPr>
                <w:rFonts w:ascii="Calibri" w:cs="Calibri" w:eastAsia="Calibri" w:hAnsi="Calibri"/>
                <w:sz w:val="18"/>
                <w:szCs w:val="18"/>
                <w:color w:val="auto"/>
              </w:rPr>
              <w:t>1,003</w:t>
            </w:r>
          </w:p>
        </w:tc>
        <w:tc>
          <w:tcPr>
            <w:tcW w:w="960" w:type="dxa"/>
            <w:vAlign w:val="bottom"/>
            <w:gridSpan w:val="3"/>
          </w:tcPr>
          <w:p>
            <w:pPr>
              <w:jc w:val="right"/>
              <w:ind w:right="10"/>
              <w:spacing w:after="0"/>
              <w:rPr>
                <w:sz w:val="20"/>
                <w:szCs w:val="20"/>
                <w:color w:val="auto"/>
              </w:rPr>
            </w:pPr>
            <w:r>
              <w:rPr>
                <w:rFonts w:ascii="Calibri" w:cs="Calibri" w:eastAsia="Calibri" w:hAnsi="Calibri"/>
                <w:sz w:val="18"/>
                <w:szCs w:val="18"/>
                <w:color w:val="auto"/>
              </w:rPr>
              <w:t>32</w:t>
            </w:r>
          </w:p>
        </w:tc>
        <w:tc>
          <w:tcPr>
            <w:tcW w:w="92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1,035</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Calibri" w:cs="Calibri" w:eastAsia="Calibri" w:hAnsi="Calibri"/>
                <w:sz w:val="18"/>
                <w:szCs w:val="18"/>
                <w:color w:val="auto"/>
                <w:w w:val="94"/>
              </w:rPr>
              <w:t>(0.4)</w:t>
            </w:r>
          </w:p>
        </w:tc>
        <w:tc>
          <w:tcPr>
            <w:tcW w:w="700" w:type="dxa"/>
            <w:vAlign w:val="bottom"/>
            <w:gridSpan w:val="2"/>
          </w:tcPr>
          <w:p>
            <w:pPr>
              <w:jc w:val="center"/>
              <w:ind w:left="250"/>
              <w:spacing w:after="0"/>
              <w:rPr>
                <w:sz w:val="20"/>
                <w:szCs w:val="20"/>
                <w:color w:val="auto"/>
              </w:rPr>
            </w:pPr>
            <w:r>
              <w:rPr>
                <w:rFonts w:ascii="Calibri" w:cs="Calibri" w:eastAsia="Calibri" w:hAnsi="Calibri"/>
                <w:sz w:val="18"/>
                <w:szCs w:val="18"/>
                <w:color w:val="auto"/>
              </w:rPr>
              <w:t>0.3</w:t>
            </w:r>
          </w:p>
        </w:tc>
        <w:tc>
          <w:tcPr>
            <w:tcW w:w="340" w:type="dxa"/>
            <w:vAlign w:val="bottom"/>
          </w:tcPr>
          <w:p>
            <w:pPr>
              <w:spacing w:after="0"/>
              <w:rPr>
                <w:sz w:val="19"/>
                <w:szCs w:val="19"/>
                <w:color w:val="auto"/>
              </w:rPr>
            </w:pPr>
          </w:p>
        </w:tc>
        <w:tc>
          <w:tcPr>
            <w:tcW w:w="600" w:type="dxa"/>
            <w:vAlign w:val="bottom"/>
            <w:gridSpan w:val="2"/>
          </w:tcPr>
          <w:p>
            <w:pPr>
              <w:jc w:val="center"/>
              <w:ind w:left="170"/>
              <w:spacing w:after="0"/>
              <w:rPr>
                <w:sz w:val="20"/>
                <w:szCs w:val="20"/>
                <w:color w:val="auto"/>
              </w:rPr>
            </w:pPr>
            <w:r>
              <w:rPr>
                <w:rFonts w:ascii="Calibri" w:cs="Calibri" w:eastAsia="Calibri" w:hAnsi="Calibri"/>
                <w:sz w:val="18"/>
                <w:szCs w:val="18"/>
                <w:color w:val="auto"/>
              </w:rPr>
              <w:t>(0.3)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50"/>
              <w:spacing w:after="0"/>
              <w:rPr>
                <w:sz w:val="20"/>
                <w:szCs w:val="20"/>
                <w:color w:val="auto"/>
              </w:rPr>
            </w:pPr>
            <w:r>
              <w:rPr>
                <w:rFonts w:ascii="Calibri" w:cs="Calibri" w:eastAsia="Calibri" w:hAnsi="Calibri"/>
                <w:sz w:val="18"/>
                <w:szCs w:val="18"/>
                <w:color w:val="auto"/>
              </w:rPr>
              <w:t>7.6</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Calibri" w:cs="Calibri" w:eastAsia="Calibri" w:hAnsi="Calibri"/>
                <w:sz w:val="18"/>
                <w:szCs w:val="18"/>
                <w:color w:val="auto"/>
              </w:rPr>
              <w:t>(0.1)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8"/>
        </w:numPr>
        <w:rPr>
          <w:rFonts w:ascii="Calibri" w:cs="Calibri" w:eastAsia="Calibri" w:hAnsi="Calibri"/>
          <w:sz w:val="19"/>
          <w:szCs w:val="19"/>
          <w:color w:val="auto"/>
          <w:vertAlign w:val="superscript"/>
        </w:rPr>
      </w:pPr>
      <w:r>
        <w:rPr>
          <w:rFonts w:ascii="Calibri" w:cs="Calibri" w:eastAsia="Calibri" w:hAnsi="Calibri"/>
          <w:sz w:val="14"/>
          <w:szCs w:val="14"/>
          <w:color w:val="auto"/>
        </w:rPr>
        <w:t>"Operatonal" comparisons are presented at constant currency rates that refect comparatve local currency net revenues at the prior year's foreign exchange rates.</w:t>
      </w:r>
    </w:p>
    <w:p>
      <w:pPr>
        <w:spacing w:after="0" w:line="100" w:lineRule="exact"/>
        <w:rPr>
          <w:sz w:val="20"/>
          <w:szCs w:val="20"/>
          <w:color w:val="auto"/>
        </w:rPr>
      </w:pPr>
    </w:p>
    <w:p>
      <w:pPr>
        <w:ind w:right="7620" w:firstLine="8"/>
        <w:spacing w:after="0" w:line="273" w:lineRule="auto"/>
        <w:tabs>
          <w:tab w:leader="none" w:pos="134" w:val="left"/>
        </w:tabs>
        <w:numPr>
          <w:ilvl w:val="0"/>
          <w:numId w:val="9"/>
        </w:numPr>
        <w:rPr>
          <w:rFonts w:ascii="Calibri" w:cs="Calibri" w:eastAsia="Calibri" w:hAnsi="Calibri"/>
          <w:sz w:val="19"/>
          <w:szCs w:val="19"/>
          <w:color w:val="auto"/>
          <w:vertAlign w:val="superscript"/>
        </w:rPr>
      </w:pPr>
      <w:r>
        <w:rPr>
          <w:rFonts w:ascii="Calibri" w:cs="Calibri" w:eastAsia="Calibri" w:hAnsi="Calibri"/>
          <w:sz w:val="14"/>
          <w:szCs w:val="14"/>
          <w:color w:val="auto"/>
        </w:rPr>
        <w:t>Refects proft sharing for Imbruvica internatonal revenues. n/m = not meaningful</w:t>
      </w:r>
    </w:p>
    <w:p>
      <w:pPr>
        <w:spacing w:after="0" w:line="251"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870" w:right="339" w:bottom="1440" w:gutter="0" w:footer="0" w:header="0"/>
        </w:sectPr>
      </w:pPr>
    </w:p>
    <w:bookmarkStart w:id="11" w:name="page12"/>
    <w:bookmarkEnd w:id="11"/>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Consolidated Statements of Earnings</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(Unaudited)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5"/>
          </w:tcPr>
          <w:p>
            <w:pPr>
              <w:jc w:val="center"/>
              <w:ind w:right="360"/>
              <w:spacing w:after="0"/>
              <w:rPr>
                <w:sz w:val="20"/>
                <w:szCs w:val="20"/>
                <w:color w:val="auto"/>
              </w:rPr>
            </w:pPr>
            <w:r>
              <w:rPr>
                <w:rFonts w:ascii="Calibri" w:cs="Calibri" w:eastAsia="Calibri" w:hAnsi="Calibri"/>
                <w:sz w:val="18"/>
                <w:szCs w:val="18"/>
                <w:b w:val="1"/>
                <w:bCs w:val="1"/>
                <w:color w:val="auto"/>
                <w:w w:val="97"/>
              </w:rPr>
              <w:t>Fourth Quarter</w:t>
            </w:r>
          </w:p>
        </w:tc>
        <w:tc>
          <w:tcPr>
            <w:tcW w:w="280" w:type="dxa"/>
            <w:vAlign w:val="bottom"/>
          </w:tcPr>
          <w:p>
            <w:pPr>
              <w:spacing w:after="0"/>
              <w:rPr>
                <w:sz w:val="19"/>
                <w:szCs w:val="19"/>
                <w:color w:val="auto"/>
              </w:rPr>
            </w:pPr>
          </w:p>
        </w:tc>
        <w:tc>
          <w:tcPr>
            <w:tcW w:w="2320" w:type="dxa"/>
            <w:vAlign w:val="bottom"/>
            <w:gridSpan w:val="4"/>
          </w:tcPr>
          <w:p>
            <w:pPr>
              <w:jc w:val="right"/>
              <w:ind w:right="650"/>
              <w:spacing w:after="0"/>
              <w:rPr>
                <w:sz w:val="20"/>
                <w:szCs w:val="20"/>
                <w:color w:val="auto"/>
              </w:rPr>
            </w:pPr>
            <w:r>
              <w:rPr>
                <w:rFonts w:ascii="Calibri" w:cs="Calibri" w:eastAsia="Calibri" w:hAnsi="Calibri"/>
                <w:sz w:val="18"/>
                <w:szCs w:val="18"/>
                <w:b w:val="1"/>
                <w:bCs w:val="1"/>
                <w:color w:val="auto"/>
              </w:rPr>
              <w:t>Twelve Months</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Calibri" w:cs="Calibri" w:eastAsia="Calibri" w:hAnsi="Calibri"/>
                <w:sz w:val="18"/>
                <w:szCs w:val="18"/>
                <w:b w:val="1"/>
                <w:bCs w:val="1"/>
                <w:color w:val="auto"/>
              </w:rPr>
              <w:t>(in millions, except per share data)</w:t>
            </w:r>
          </w:p>
        </w:tc>
        <w:tc>
          <w:tcPr>
            <w:tcW w:w="260" w:type="dxa"/>
            <w:vAlign w:val="bottom"/>
          </w:tcPr>
          <w:p>
            <w:pPr>
              <w:spacing w:after="0"/>
              <w:rPr>
                <w:sz w:val="19"/>
                <w:szCs w:val="19"/>
                <w:color w:val="auto"/>
              </w:rPr>
            </w:pPr>
          </w:p>
        </w:tc>
        <w:tc>
          <w:tcPr>
            <w:tcW w:w="2420" w:type="dxa"/>
            <w:vAlign w:val="bottom"/>
            <w:gridSpan w:val="5"/>
          </w:tcPr>
          <w:p>
            <w:pPr>
              <w:jc w:val="center"/>
              <w:ind w:right="360"/>
              <w:spacing w:after="0" w:line="215" w:lineRule="exact"/>
              <w:rPr>
                <w:sz w:val="20"/>
                <w:szCs w:val="20"/>
                <w:color w:val="auto"/>
              </w:rPr>
            </w:pPr>
            <w:r>
              <w:rPr>
                <w:rFonts w:ascii="Calibri" w:cs="Calibri" w:eastAsia="Calibri" w:hAnsi="Calibri"/>
                <w:sz w:val="18"/>
                <w:szCs w:val="18"/>
                <w:b w:val="1"/>
                <w:bCs w:val="1"/>
                <w:color w:val="auto"/>
                <w:w w:val="97"/>
              </w:rPr>
              <w:t>Ended December 31</w:t>
            </w:r>
          </w:p>
        </w:tc>
        <w:tc>
          <w:tcPr>
            <w:tcW w:w="280" w:type="dxa"/>
            <w:vAlign w:val="bottom"/>
          </w:tcPr>
          <w:p>
            <w:pPr>
              <w:spacing w:after="0"/>
              <w:rPr>
                <w:sz w:val="19"/>
                <w:szCs w:val="19"/>
                <w:color w:val="auto"/>
              </w:rPr>
            </w:pPr>
          </w:p>
        </w:tc>
        <w:tc>
          <w:tcPr>
            <w:tcW w:w="2320" w:type="dxa"/>
            <w:vAlign w:val="bottom"/>
            <w:gridSpan w:val="4"/>
          </w:tcPr>
          <w:p>
            <w:pPr>
              <w:jc w:val="right"/>
              <w:ind w:right="470"/>
              <w:spacing w:after="0" w:line="215" w:lineRule="exact"/>
              <w:rPr>
                <w:sz w:val="20"/>
                <w:szCs w:val="20"/>
                <w:color w:val="auto"/>
              </w:rPr>
            </w:pPr>
            <w:r>
              <w:rPr>
                <w:rFonts w:ascii="Calibri" w:cs="Calibri" w:eastAsia="Calibri" w:hAnsi="Calibri"/>
                <w:sz w:val="18"/>
                <w:szCs w:val="18"/>
                <w:b w:val="1"/>
                <w:bCs w:val="1"/>
                <w:color w:val="auto"/>
              </w:rPr>
              <w:t>Ended December 31</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2021</w:t>
            </w:r>
          </w:p>
        </w:tc>
        <w:tc>
          <w:tcPr>
            <w:tcW w:w="0" w:type="dxa"/>
            <w:vAlign w:val="bottom"/>
          </w:tcPr>
          <w:p>
            <w:pPr>
              <w:spacing w:after="0"/>
              <w:rPr>
                <w:sz w:val="1"/>
                <w:szCs w:val="1"/>
                <w:color w:val="auto"/>
              </w:rPr>
            </w:pPr>
          </w:p>
        </w:tc>
      </w:tr>
      <w:tr>
        <w:trPr>
          <w:trHeight w:val="215"/>
        </w:trPr>
        <w:tc>
          <w:tcPr>
            <w:tcW w:w="5920" w:type="dxa"/>
            <w:vAlign w:val="bottom"/>
          </w:tcPr>
          <w:p>
            <w:pPr>
              <w:spacing w:after="0" w:line="206" w:lineRule="exact"/>
              <w:rPr>
                <w:sz w:val="20"/>
                <w:szCs w:val="20"/>
                <w:color w:val="auto"/>
              </w:rPr>
            </w:pPr>
            <w:r>
              <w:rPr>
                <w:rFonts w:ascii="Calibri" w:cs="Calibri" w:eastAsia="Calibri" w:hAnsi="Calibri"/>
                <w:sz w:val="18"/>
                <w:szCs w:val="18"/>
                <w:color w:val="auto"/>
              </w:rPr>
              <w:t>Net revenues</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15,121</w:t>
            </w:r>
          </w:p>
        </w:tc>
        <w:tc>
          <w:tcPr>
            <w:tcW w:w="12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14,886</w:t>
            </w:r>
          </w:p>
        </w:tc>
        <w:tc>
          <w:tcPr>
            <w:tcW w:w="100" w:type="dxa"/>
            <w:vAlign w:val="bottom"/>
          </w:tcPr>
          <w:p>
            <w:pPr>
              <w:spacing w:after="0"/>
              <w:rPr>
                <w:sz w:val="18"/>
                <w:szCs w:val="18"/>
                <w:color w:val="auto"/>
              </w:rPr>
            </w:pP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58,054</w:t>
            </w:r>
          </w:p>
        </w:tc>
        <w:tc>
          <w:tcPr>
            <w:tcW w:w="12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56,197</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Calibri" w:cs="Calibri" w:eastAsia="Calibri" w:hAnsi="Calibri"/>
                <w:sz w:val="18"/>
                <w:szCs w:val="18"/>
                <w:color w:val="auto"/>
              </w:rPr>
              <w:t>Cost of products sold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4,170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4,320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17,414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17,446</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Calibri" w:cs="Calibri" w:eastAsia="Calibri" w:hAnsi="Calibri"/>
                <w:sz w:val="18"/>
                <w:szCs w:val="18"/>
                <w:color w:val="auto"/>
              </w:rPr>
              <w:t>Selling, general and administratve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3,417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3,260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15,260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12,349</w:t>
            </w:r>
          </w:p>
        </w:tc>
        <w:tc>
          <w:tcPr>
            <w:tcW w:w="0" w:type="dxa"/>
            <w:vAlign w:val="bottom"/>
          </w:tcPr>
          <w:p>
            <w:pPr>
              <w:spacing w:after="0"/>
              <w:rPr>
                <w:sz w:val="1"/>
                <w:szCs w:val="1"/>
                <w:color w:val="auto"/>
              </w:rPr>
            </w:pPr>
          </w:p>
        </w:tc>
      </w:tr>
      <w:tr>
        <w:trPr>
          <w:trHeight w:val="238"/>
        </w:trPr>
        <w:tc>
          <w:tcPr>
            <w:tcW w:w="5920" w:type="dxa"/>
            <w:vAlign w:val="bottom"/>
          </w:tcPr>
          <w:p>
            <w:pPr>
              <w:spacing w:after="0" w:line="238" w:lineRule="exact"/>
              <w:rPr>
                <w:sz w:val="20"/>
                <w:szCs w:val="20"/>
                <w:color w:val="auto"/>
              </w:rPr>
            </w:pPr>
            <w:r>
              <w:rPr>
                <w:rFonts w:ascii="Calibri" w:cs="Calibri" w:eastAsia="Calibri" w:hAnsi="Calibri"/>
                <w:sz w:val="18"/>
                <w:szCs w:val="18"/>
                <w:color w:val="auto"/>
              </w:rPr>
              <w:t>Research and development</w:t>
            </w:r>
            <w:r>
              <w:rPr>
                <w:rFonts w:ascii="Calibri" w:cs="Calibri" w:eastAsia="Calibri" w:hAnsi="Calibri"/>
                <w:sz w:val="23"/>
                <w:szCs w:val="23"/>
                <w:color w:val="auto"/>
                <w:vertAlign w:val="superscript"/>
              </w:rPr>
              <w:t>a</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1,790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1,827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6,510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6,922</w:t>
            </w:r>
          </w:p>
        </w:tc>
        <w:tc>
          <w:tcPr>
            <w:tcW w:w="0" w:type="dxa"/>
            <w:vAlign w:val="bottom"/>
          </w:tcPr>
          <w:p>
            <w:pPr>
              <w:spacing w:after="0"/>
              <w:rPr>
                <w:sz w:val="1"/>
                <w:szCs w:val="1"/>
                <w:color w:val="auto"/>
              </w:rPr>
            </w:pPr>
          </w:p>
        </w:tc>
      </w:tr>
      <w:tr>
        <w:trPr>
          <w:trHeight w:val="236"/>
        </w:trPr>
        <w:tc>
          <w:tcPr>
            <w:tcW w:w="5920" w:type="dxa"/>
            <w:vAlign w:val="bottom"/>
          </w:tcPr>
          <w:p>
            <w:pPr>
              <w:spacing w:after="0" w:line="236" w:lineRule="exact"/>
              <w:rPr>
                <w:sz w:val="20"/>
                <w:szCs w:val="20"/>
                <w:color w:val="auto"/>
              </w:rPr>
            </w:pPr>
            <w:r>
              <w:rPr>
                <w:rFonts w:ascii="Calibri" w:cs="Calibri" w:eastAsia="Calibri" w:hAnsi="Calibri"/>
                <w:sz w:val="18"/>
                <w:szCs w:val="18"/>
                <w:color w:val="auto"/>
              </w:rPr>
              <w:t>Acquired IPR&amp;D and milestones</w:t>
            </w:r>
            <w:r>
              <w:rPr>
                <w:rFonts w:ascii="Calibri" w:cs="Calibri" w:eastAsia="Calibri" w:hAnsi="Calibri"/>
                <w:sz w:val="23"/>
                <w:szCs w:val="23"/>
                <w:color w:val="auto"/>
                <w:vertAlign w:val="superscript"/>
              </w:rPr>
              <w:t>a</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243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697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1,124</w:t>
            </w:r>
          </w:p>
        </w:tc>
        <w:tc>
          <w:tcPr>
            <w:tcW w:w="0" w:type="dxa"/>
            <w:vAlign w:val="bottom"/>
          </w:tcPr>
          <w:p>
            <w:pPr>
              <w:spacing w:after="0"/>
              <w:rPr>
                <w:sz w:val="1"/>
                <w:szCs w:val="1"/>
                <w:color w:val="auto"/>
              </w:rPr>
            </w:pPr>
          </w:p>
        </w:tc>
      </w:tr>
      <w:tr>
        <w:trPr>
          <w:trHeight w:val="215"/>
        </w:trPr>
        <w:tc>
          <w:tcPr>
            <w:tcW w:w="5920" w:type="dxa"/>
            <w:vAlign w:val="bottom"/>
          </w:tcPr>
          <w:p>
            <w:pPr>
              <w:spacing w:after="0" w:line="215" w:lineRule="exact"/>
              <w:rPr>
                <w:sz w:val="20"/>
                <w:szCs w:val="20"/>
                <w:color w:val="auto"/>
              </w:rPr>
            </w:pPr>
            <w:r>
              <w:rPr>
                <w:rFonts w:ascii="Calibri" w:cs="Calibri" w:eastAsia="Calibri" w:hAnsi="Calibri"/>
                <w:sz w:val="18"/>
                <w:szCs w:val="18"/>
                <w:color w:val="auto"/>
              </w:rPr>
              <w:t>Other operatng (income) expense, net</w:t>
            </w: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432</w:t>
            </w:r>
          </w:p>
        </w:tc>
        <w:tc>
          <w:tcPr>
            <w:tcW w:w="0" w:type="dxa"/>
            <w:vAlign w:val="bottom"/>
          </w:tcPr>
          <w:p>
            <w:pPr>
              <w:spacing w:after="0"/>
              <w:rPr>
                <w:sz w:val="1"/>
                <w:szCs w:val="1"/>
                <w:color w:val="auto"/>
              </w:rPr>
            </w:pPr>
          </w:p>
        </w:tc>
      </w:tr>
      <w:tr>
        <w:trPr>
          <w:trHeight w:val="23"/>
        </w:trPr>
        <w:tc>
          <w:tcPr>
            <w:tcW w:w="5920" w:type="dxa"/>
            <w:vAlign w:val="bottom"/>
            <w:vMerge w:val="restart"/>
          </w:tcPr>
          <w:p>
            <w:pPr>
              <w:spacing w:after="0"/>
              <w:rPr>
                <w:sz w:val="20"/>
                <w:szCs w:val="20"/>
                <w:color w:val="auto"/>
              </w:rPr>
            </w:pPr>
            <w:r>
              <w:rPr>
                <w:rFonts w:ascii="Calibri" w:cs="Calibri" w:eastAsia="Calibri" w:hAnsi="Calibri"/>
                <w:sz w:val="18"/>
                <w:szCs w:val="18"/>
                <w:color w:val="auto"/>
              </w:rPr>
              <w:t>Total operatng costs and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39,937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38,273</w:t>
            </w:r>
          </w:p>
        </w:tc>
        <w:tc>
          <w:tcPr>
            <w:tcW w:w="0" w:type="dxa"/>
            <w:vAlign w:val="bottom"/>
          </w:tcPr>
          <w:p>
            <w:pPr>
              <w:spacing w:after="0"/>
              <w:rPr>
                <w:sz w:val="1"/>
                <w:szCs w:val="1"/>
                <w:color w:val="auto"/>
              </w:rPr>
            </w:pPr>
          </w:p>
        </w:tc>
      </w:tr>
      <w:tr>
        <w:trPr>
          <w:trHeight w:val="449"/>
        </w:trPr>
        <w:tc>
          <w:tcPr>
            <w:tcW w:w="5920" w:type="dxa"/>
            <w:vAlign w:val="bottom"/>
          </w:tcPr>
          <w:p>
            <w:pPr>
              <w:spacing w:after="0"/>
              <w:rPr>
                <w:sz w:val="20"/>
                <w:szCs w:val="20"/>
                <w:color w:val="auto"/>
              </w:rPr>
            </w:pPr>
            <w:r>
              <w:rPr>
                <w:rFonts w:ascii="Calibri" w:cs="Calibri" w:eastAsia="Calibri" w:hAnsi="Calibri"/>
                <w:sz w:val="18"/>
                <w:szCs w:val="18"/>
                <w:color w:val="auto"/>
              </w:rPr>
              <w:t>Operatng earnings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5,502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5,074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18,117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17,924</w:t>
            </w:r>
          </w:p>
        </w:tc>
        <w:tc>
          <w:tcPr>
            <w:tcW w:w="0" w:type="dxa"/>
            <w:vAlign w:val="bottom"/>
          </w:tcPr>
          <w:p>
            <w:pPr>
              <w:spacing w:after="0"/>
              <w:rPr>
                <w:sz w:val="1"/>
                <w:szCs w:val="1"/>
                <w:color w:val="auto"/>
              </w:rPr>
            </w:pPr>
          </w:p>
        </w:tc>
      </w:tr>
      <w:tr>
        <w:trPr>
          <w:trHeight w:val="486"/>
        </w:trPr>
        <w:tc>
          <w:tcPr>
            <w:tcW w:w="5920" w:type="dxa"/>
            <w:vAlign w:val="bottom"/>
          </w:tcPr>
          <w:p>
            <w:pPr>
              <w:spacing w:after="0"/>
              <w:rPr>
                <w:sz w:val="20"/>
                <w:szCs w:val="20"/>
                <w:color w:val="auto"/>
              </w:rPr>
            </w:pPr>
            <w:r>
              <w:rPr>
                <w:rFonts w:ascii="Calibri" w:cs="Calibri" w:eastAsia="Calibri" w:hAnsi="Calibri"/>
                <w:sz w:val="18"/>
                <w:szCs w:val="18"/>
                <w:color w:val="auto"/>
              </w:rPr>
              <w:t>Interest expense, net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476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571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2,044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2,384</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Calibri" w:cs="Calibri" w:eastAsia="Calibri" w:hAnsi="Calibri"/>
                <w:sz w:val="18"/>
                <w:szCs w:val="18"/>
                <w:color w:val="auto"/>
              </w:rPr>
              <w:t>Net foreign exchange loss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Calibri" w:cs="Calibri" w:eastAsia="Calibri" w:hAnsi="Calibri"/>
                <w:sz w:val="18"/>
                <w:szCs w:val="18"/>
                <w:color w:val="auto"/>
              </w:rPr>
              <w:t>Other expense,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2,021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2,448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2,500</w:t>
            </w:r>
          </w:p>
        </w:tc>
        <w:tc>
          <w:tcPr>
            <w:tcW w:w="0" w:type="dxa"/>
            <w:vAlign w:val="bottom"/>
          </w:tcPr>
          <w:p>
            <w:pPr>
              <w:spacing w:after="0"/>
              <w:rPr>
                <w:sz w:val="1"/>
                <w:szCs w:val="1"/>
                <w:color w:val="auto"/>
              </w:rPr>
            </w:pPr>
          </w:p>
        </w:tc>
      </w:tr>
      <w:tr>
        <w:trPr>
          <w:trHeight w:val="23"/>
        </w:trPr>
        <w:tc>
          <w:tcPr>
            <w:tcW w:w="5920" w:type="dxa"/>
            <w:vAlign w:val="bottom"/>
            <w:vMerge w:val="restart"/>
          </w:tcPr>
          <w:p>
            <w:pPr>
              <w:spacing w:after="0"/>
              <w:rPr>
                <w:sz w:val="20"/>
                <w:szCs w:val="20"/>
                <w:color w:val="auto"/>
              </w:rPr>
            </w:pPr>
            <w:r>
              <w:rPr>
                <w:rFonts w:ascii="Calibri" w:cs="Calibri" w:eastAsia="Calibri" w:hAnsi="Calibri"/>
                <w:sz w:val="18"/>
                <w:szCs w:val="18"/>
                <w:color w:val="auto"/>
              </w:rPr>
              <w:t>Earnings before income tax expense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line="208" w:lineRule="exact"/>
              <w:rPr>
                <w:sz w:val="20"/>
                <w:szCs w:val="20"/>
                <w:color w:val="auto"/>
              </w:rPr>
            </w:pPr>
            <w:r>
              <w:rPr>
                <w:rFonts w:ascii="Calibri" w:cs="Calibri" w:eastAsia="Calibri" w:hAnsi="Calibri"/>
                <w:sz w:val="18"/>
                <w:szCs w:val="18"/>
                <w:color w:val="auto"/>
              </w:rPr>
              <w:t>2,965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Calibri" w:cs="Calibri" w:eastAsia="Calibri" w:hAnsi="Calibri"/>
                <w:sz w:val="18"/>
                <w:szCs w:val="18"/>
                <w:color w:val="auto"/>
              </w:rPr>
              <w:t>4,271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08" w:lineRule="exact"/>
              <w:rPr>
                <w:sz w:val="20"/>
                <w:szCs w:val="20"/>
                <w:color w:val="auto"/>
              </w:rPr>
            </w:pPr>
            <w:r>
              <w:rPr>
                <w:rFonts w:ascii="Calibri" w:cs="Calibri" w:eastAsia="Calibri" w:hAnsi="Calibri"/>
                <w:sz w:val="18"/>
                <w:szCs w:val="18"/>
                <w:color w:val="auto"/>
              </w:rPr>
              <w:t>13,477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Calibri" w:cs="Calibri" w:eastAsia="Calibri" w:hAnsi="Calibri"/>
                <w:sz w:val="18"/>
                <w:szCs w:val="18"/>
                <w:color w:val="auto"/>
              </w:rPr>
              <w:t>12,989</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Calibri" w:cs="Calibri" w:eastAsia="Calibri" w:hAnsi="Calibri"/>
                <w:sz w:val="18"/>
                <w:szCs w:val="18"/>
                <w:color w:val="auto"/>
              </w:rPr>
              <w:t>Income tax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493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1,632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1,440</w:t>
            </w:r>
          </w:p>
        </w:tc>
        <w:tc>
          <w:tcPr>
            <w:tcW w:w="0" w:type="dxa"/>
            <w:vAlign w:val="bottom"/>
          </w:tcPr>
          <w:p>
            <w:pPr>
              <w:spacing w:after="0"/>
              <w:rPr>
                <w:sz w:val="1"/>
                <w:szCs w:val="1"/>
                <w:color w:val="auto"/>
              </w:rPr>
            </w:pPr>
          </w:p>
        </w:tc>
      </w:tr>
      <w:tr>
        <w:trPr>
          <w:trHeight w:val="23"/>
        </w:trPr>
        <w:tc>
          <w:tcPr>
            <w:tcW w:w="5920" w:type="dxa"/>
            <w:vAlign w:val="bottom"/>
            <w:vMerge w:val="restart"/>
          </w:tcPr>
          <w:p>
            <w:pPr>
              <w:spacing w:after="0"/>
              <w:rPr>
                <w:sz w:val="20"/>
                <w:szCs w:val="20"/>
                <w:color w:val="auto"/>
              </w:rPr>
            </w:pPr>
            <w:r>
              <w:rPr>
                <w:rFonts w:ascii="Calibri" w:cs="Calibri" w:eastAsia="Calibri" w:hAnsi="Calibri"/>
                <w:sz w:val="18"/>
                <w:szCs w:val="18"/>
                <w:color w:val="auto"/>
              </w:rPr>
              <w:t>Net earnings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line="208" w:lineRule="exact"/>
              <w:rPr>
                <w:sz w:val="20"/>
                <w:szCs w:val="20"/>
                <w:color w:val="auto"/>
              </w:rPr>
            </w:pPr>
            <w:r>
              <w:rPr>
                <w:rFonts w:ascii="Calibri" w:cs="Calibri" w:eastAsia="Calibri" w:hAnsi="Calibri"/>
                <w:sz w:val="18"/>
                <w:szCs w:val="18"/>
                <w:color w:val="auto"/>
              </w:rPr>
              <w:t>2,472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Calibri" w:cs="Calibri" w:eastAsia="Calibri" w:hAnsi="Calibri"/>
                <w:sz w:val="18"/>
                <w:szCs w:val="18"/>
                <w:color w:val="auto"/>
              </w:rPr>
              <w:t>4,045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08" w:lineRule="exact"/>
              <w:rPr>
                <w:sz w:val="20"/>
                <w:szCs w:val="20"/>
                <w:color w:val="auto"/>
              </w:rPr>
            </w:pPr>
            <w:r>
              <w:rPr>
                <w:rFonts w:ascii="Calibri" w:cs="Calibri" w:eastAsia="Calibri" w:hAnsi="Calibri"/>
                <w:sz w:val="18"/>
                <w:szCs w:val="18"/>
                <w:color w:val="auto"/>
              </w:rPr>
              <w:t>11,845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Calibri" w:cs="Calibri" w:eastAsia="Calibri" w:hAnsi="Calibri"/>
                <w:sz w:val="18"/>
                <w:szCs w:val="18"/>
                <w:color w:val="auto"/>
              </w:rPr>
              <w:t>11,549</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Calibri" w:cs="Calibri" w:eastAsia="Calibri" w:hAnsi="Calibri"/>
                <w:sz w:val="18"/>
                <w:szCs w:val="18"/>
                <w:color w:val="auto"/>
              </w:rPr>
              <w:t>Net earnings (loss) atributable to noncontrolling interest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Calibri" w:cs="Calibri" w:eastAsia="Calibri" w:hAnsi="Calibri"/>
                <w:sz w:val="18"/>
                <w:szCs w:val="18"/>
                <w:color w:val="auto"/>
              </w:rPr>
              <w:t>Net earnings atributable to AbbVie Inc.</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2,473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11,836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11,542</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20" w:type="dxa"/>
            <w:vAlign w:val="bottom"/>
          </w:tcPr>
          <w:p>
            <w:pPr>
              <w:spacing w:after="0"/>
              <w:rPr>
                <w:sz w:val="20"/>
                <w:szCs w:val="20"/>
                <w:color w:val="auto"/>
              </w:rPr>
            </w:pPr>
            <w:r>
              <w:rPr>
                <w:rFonts w:ascii="Calibri" w:cs="Calibri" w:eastAsia="Calibri" w:hAnsi="Calibri"/>
                <w:sz w:val="18"/>
                <w:szCs w:val="18"/>
                <w:color w:val="auto"/>
              </w:rPr>
              <w:t>Diluted earnings per share atributable to AbbVie Inc.</w:t>
            </w:r>
          </w:p>
        </w:tc>
        <w:tc>
          <w:tcPr>
            <w:tcW w:w="2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1.38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2.26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6.63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6.45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20" w:type="dxa"/>
            <w:vAlign w:val="bottom"/>
          </w:tcPr>
          <w:p>
            <w:pPr>
              <w:spacing w:after="0"/>
              <w:rPr>
                <w:sz w:val="20"/>
                <w:szCs w:val="20"/>
                <w:color w:val="auto"/>
              </w:rPr>
            </w:pPr>
            <w:r>
              <w:rPr>
                <w:rFonts w:ascii="Calibri" w:cs="Calibri" w:eastAsia="Calibri" w:hAnsi="Calibri"/>
                <w:sz w:val="18"/>
                <w:szCs w:val="18"/>
                <w:color w:val="auto"/>
              </w:rPr>
              <w:t>Adjusted diluted earnings per share</w:t>
            </w:r>
            <w:r>
              <w:rPr>
                <w:rFonts w:ascii="Calibri" w:cs="Calibri" w:eastAsia="Calibri" w:hAnsi="Calibri"/>
                <w:sz w:val="23"/>
                <w:szCs w:val="23"/>
                <w:color w:val="auto"/>
                <w:vertAlign w:val="superscript"/>
              </w:rPr>
              <w:t>b</w:t>
            </w:r>
          </w:p>
        </w:tc>
        <w:tc>
          <w:tcPr>
            <w:tcW w:w="2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3.60</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3.08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13.77</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11.83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5920" w:type="dxa"/>
            <w:vAlign w:val="bottom"/>
          </w:tcPr>
          <w:p>
            <w:pPr>
              <w:spacing w:after="0"/>
              <w:rPr>
                <w:sz w:val="20"/>
                <w:szCs w:val="20"/>
                <w:color w:val="auto"/>
              </w:rPr>
            </w:pPr>
            <w:r>
              <w:rPr>
                <w:rFonts w:ascii="Calibri" w:cs="Calibri" w:eastAsia="Calibri" w:hAnsi="Calibri"/>
                <w:sz w:val="18"/>
                <w:szCs w:val="18"/>
                <w:color w:val="auto"/>
              </w:rPr>
              <w:t>Weighted-average diluted shares outstanding</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1,778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1,778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1,778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1,777</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80" w:right="100" w:hanging="172"/>
        <w:spacing w:after="0" w:line="230" w:lineRule="auto"/>
        <w:tabs>
          <w:tab w:leader="none" w:pos="193" w:val="left"/>
        </w:tabs>
        <w:numPr>
          <w:ilvl w:val="0"/>
          <w:numId w:val="10"/>
        </w:numPr>
        <w:rPr>
          <w:rFonts w:ascii="Calibri" w:cs="Calibri" w:eastAsia="Calibri" w:hAnsi="Calibri"/>
          <w:sz w:val="19"/>
          <w:szCs w:val="19"/>
          <w:color w:val="auto"/>
          <w:vertAlign w:val="superscript"/>
        </w:rPr>
      </w:pPr>
      <w:r>
        <w:rPr>
          <w:rFonts w:ascii="Calibri" w:cs="Calibri" w:eastAsia="Calibri" w:hAnsi="Calibri"/>
          <w:sz w:val="14"/>
          <w:szCs w:val="14"/>
          <w:color w:val="auto"/>
        </w:rPr>
        <w:t>During the three months ended March 31, 2022, AbbVie changed its classifcaton of development milestone expense associated with licensing and collaboraton arrangements in the consolidated statement of earnings. Milestone payments incurred prior to regulatory approval, which were previously included in research and development expense, are now presented as acquired IPR&amp;D and milestones expense. The reclassifcaton decreased research and development expense and increased acquired IPR&amp;D and milestones expense by $162 million for the twelve months ended December 31, 2021 and had no impact on the three months ended December 31, 2021. The company believes this presentaton assists users of the fnancial statements to beter understand the total upfront and subsequent development milestone payments incurred to acquire in-process research and development projects. Prior periods have been revised to conform to the current period presentaton. The reclassifcaton had no impact on total operatng costs and expenses, operatng earnings, net earnings, net earnings atributable to AbbVie, Inc., earnings per share, or total equity.</w:t>
      </w:r>
    </w:p>
    <w:p>
      <w:pPr>
        <w:spacing w:after="0" w:line="191" w:lineRule="exact"/>
        <w:rPr>
          <w:sz w:val="20"/>
          <w:szCs w:val="20"/>
          <w:color w:val="auto"/>
        </w:rPr>
      </w:pPr>
    </w:p>
    <w:p>
      <w:pPr>
        <w:ind w:left="180" w:hanging="172"/>
        <w:spacing w:after="0"/>
        <w:tabs>
          <w:tab w:leader="none" w:pos="180" w:val="left"/>
        </w:tabs>
        <w:numPr>
          <w:ilvl w:val="0"/>
          <w:numId w:val="11"/>
        </w:numPr>
        <w:rPr>
          <w:rFonts w:ascii="Calibri" w:cs="Calibri" w:eastAsia="Calibri" w:hAnsi="Calibri"/>
          <w:sz w:val="19"/>
          <w:szCs w:val="19"/>
          <w:color w:val="auto"/>
          <w:vertAlign w:val="superscript"/>
        </w:rPr>
      </w:pPr>
      <w:r>
        <w:rPr>
          <w:rFonts w:ascii="Calibri" w:cs="Calibri" w:eastAsia="Calibri" w:hAnsi="Calibri"/>
          <w:sz w:val="14"/>
          <w:szCs w:val="14"/>
          <w:color w:val="auto"/>
        </w:rPr>
        <w:t>Refer to the Reconciliaton of GAAP Reported to Non-GAAP Adjusted Informaton for further details. Weighted-average diluted shares outstanding includes the efect of dilutve securites.</w:t>
      </w:r>
    </w:p>
    <w:p>
      <w:pPr>
        <w:spacing w:after="0" w:line="283"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870" w:right="339" w:bottom="1440" w:gutter="0" w:footer="0" w:header="0"/>
        </w:sectPr>
      </w:pPr>
    </w:p>
    <w:bookmarkStart w:id="12" w:name="page13"/>
    <w:bookmarkEnd w:id="12"/>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Reconciliaton of GAAP Reported to Non-GAAP Adjusted Informaton</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20"/>
                <w:szCs w:val="20"/>
                <w:color w:val="auto"/>
              </w:rPr>
            </w:pPr>
            <w:r>
              <w:rPr>
                <w:rFonts w:ascii="Calibri" w:cs="Calibri" w:eastAsia="Calibri" w:hAnsi="Calibri"/>
                <w:sz w:val="18"/>
                <w:szCs w:val="18"/>
                <w:color w:val="auto"/>
              </w:rPr>
              <w:t>1.  Specifed items impacted results as follows: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140" w:type="dxa"/>
            <w:vAlign w:val="bottom"/>
            <w:gridSpan w:val="5"/>
          </w:tcPr>
          <w:p>
            <w:pPr>
              <w:ind w:left="680"/>
              <w:spacing w:after="0"/>
              <w:rPr>
                <w:sz w:val="20"/>
                <w:szCs w:val="20"/>
                <w:color w:val="auto"/>
              </w:rPr>
            </w:pPr>
            <w:r>
              <w:rPr>
                <w:rFonts w:ascii="Calibri" w:cs="Calibri" w:eastAsia="Calibri" w:hAnsi="Calibri"/>
                <w:sz w:val="18"/>
                <w:szCs w:val="18"/>
                <w:b w:val="1"/>
                <w:bCs w:val="1"/>
                <w:color w:val="auto"/>
              </w:rPr>
              <w:t>Quarter Ended December 31, 2022</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(in millions, except per share data)</w:t>
            </w: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Earnings</w:t>
            </w:r>
          </w:p>
        </w:tc>
        <w:tc>
          <w:tcPr>
            <w:tcW w:w="11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center"/>
              <w:ind w:right="190"/>
              <w:spacing w:after="0" w:line="208" w:lineRule="exact"/>
              <w:rPr>
                <w:sz w:val="20"/>
                <w:szCs w:val="20"/>
                <w:color w:val="auto"/>
              </w:rPr>
            </w:pPr>
            <w:r>
              <w:rPr>
                <w:rFonts w:ascii="Calibri" w:cs="Calibri" w:eastAsia="Calibri" w:hAnsi="Calibri"/>
                <w:sz w:val="18"/>
                <w:szCs w:val="18"/>
                <w:color w:val="auto"/>
                <w:w w:val="97"/>
              </w:rPr>
              <w:t>Diluted</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line="230" w:lineRule="exact"/>
              <w:rPr>
                <w:sz w:val="20"/>
                <w:szCs w:val="20"/>
                <w:color w:val="auto"/>
              </w:rPr>
            </w:pPr>
            <w:r>
              <w:rPr>
                <w:rFonts w:ascii="Calibri" w:cs="Calibri" w:eastAsia="Calibri" w:hAnsi="Calibri"/>
                <w:sz w:val="18"/>
                <w:szCs w:val="18"/>
                <w:color w:val="auto"/>
              </w:rPr>
              <w:t>Afer-tax</w:t>
            </w:r>
            <w:r>
              <w:rPr>
                <w:rFonts w:ascii="Calibri" w:cs="Calibri" w:eastAsia="Calibri" w:hAnsi="Calibri"/>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line="206" w:lineRule="exact"/>
              <w:rPr>
                <w:sz w:val="20"/>
                <w:szCs w:val="20"/>
                <w:color w:val="auto"/>
              </w:rPr>
            </w:pPr>
            <w:r>
              <w:rPr>
                <w:rFonts w:ascii="Calibri" w:cs="Calibri" w:eastAsia="Calibri" w:hAnsi="Calibri"/>
                <w:sz w:val="18"/>
                <w:szCs w:val="18"/>
                <w:color w:val="auto"/>
                <w:w w:val="98"/>
              </w:rPr>
              <w:t>EPS</w:t>
            </w:r>
          </w:p>
        </w:tc>
        <w:tc>
          <w:tcPr>
            <w:tcW w:w="0" w:type="dxa"/>
            <w:vAlign w:val="bottom"/>
          </w:tcPr>
          <w:p>
            <w:pPr>
              <w:spacing w:after="0"/>
              <w:rPr>
                <w:sz w:val="1"/>
                <w:szCs w:val="1"/>
                <w:color w:val="auto"/>
              </w:rPr>
            </w:pPr>
          </w:p>
        </w:tc>
      </w:tr>
      <w:tr>
        <w:trPr>
          <w:trHeight w:val="208"/>
        </w:trPr>
        <w:tc>
          <w:tcPr>
            <w:tcW w:w="6440" w:type="dxa"/>
            <w:vAlign w:val="bottom"/>
          </w:tcPr>
          <w:p>
            <w:pPr>
              <w:ind w:left="360"/>
              <w:spacing w:after="0" w:line="199" w:lineRule="exact"/>
              <w:rPr>
                <w:sz w:val="20"/>
                <w:szCs w:val="20"/>
                <w:color w:val="auto"/>
              </w:rPr>
            </w:pPr>
            <w:r>
              <w:rPr>
                <w:rFonts w:ascii="Calibri" w:cs="Calibri" w:eastAsia="Calibri" w:hAnsi="Calibri"/>
                <w:sz w:val="18"/>
                <w:szCs w:val="18"/>
                <w:b w:val="1"/>
                <w:bCs w:val="1"/>
                <w:color w:val="auto"/>
              </w:rPr>
              <w:t>As reported (GAAP)</w:t>
            </w:r>
          </w:p>
        </w:tc>
        <w:tc>
          <w:tcPr>
            <w:tcW w:w="26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Pr>
          <w:p>
            <w:pPr>
              <w:jc w:val="right"/>
              <w:ind w:right="10"/>
              <w:spacing w:after="0" w:line="208" w:lineRule="exact"/>
              <w:rPr>
                <w:sz w:val="20"/>
                <w:szCs w:val="20"/>
                <w:color w:val="auto"/>
              </w:rPr>
            </w:pPr>
            <w:r>
              <w:rPr>
                <w:rFonts w:ascii="Calibri" w:cs="Calibri" w:eastAsia="Calibri" w:hAnsi="Calibri"/>
                <w:sz w:val="18"/>
                <w:szCs w:val="18"/>
                <w:b w:val="1"/>
                <w:bCs w:val="1"/>
                <w:color w:val="auto"/>
              </w:rPr>
              <w:t>2,965</w:t>
            </w:r>
          </w:p>
        </w:tc>
        <w:tc>
          <w:tcPr>
            <w:tcW w:w="38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2,473</w:t>
            </w:r>
          </w:p>
        </w:tc>
        <w:tc>
          <w:tcPr>
            <w:tcW w:w="38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Pr>
          <w:p>
            <w:pPr>
              <w:jc w:val="center"/>
              <w:ind w:left="590"/>
              <w:spacing w:after="0" w:line="208" w:lineRule="exact"/>
              <w:rPr>
                <w:sz w:val="20"/>
                <w:szCs w:val="20"/>
                <w:color w:val="auto"/>
              </w:rPr>
            </w:pPr>
            <w:r>
              <w:rPr>
                <w:rFonts w:ascii="Calibri" w:cs="Calibri" w:eastAsia="Calibri" w:hAnsi="Calibri"/>
                <w:sz w:val="18"/>
                <w:szCs w:val="18"/>
                <w:b w:val="1"/>
                <w:bCs w:val="1"/>
                <w:color w:val="auto"/>
                <w:w w:val="99"/>
              </w:rPr>
              <w:t>1.38</w:t>
            </w:r>
          </w:p>
        </w:tc>
        <w:tc>
          <w:tcPr>
            <w:tcW w:w="0" w:type="dxa"/>
            <w:vAlign w:val="bottom"/>
          </w:tcPr>
          <w:p>
            <w:pPr>
              <w:spacing w:after="0"/>
              <w:rPr>
                <w:sz w:val="1"/>
                <w:szCs w:val="1"/>
                <w:color w:val="auto"/>
              </w:rPr>
            </w:pPr>
          </w:p>
        </w:tc>
      </w:tr>
      <w:tr>
        <w:trPr>
          <w:trHeight w:val="221"/>
        </w:trPr>
        <w:tc>
          <w:tcPr>
            <w:tcW w:w="6440" w:type="dxa"/>
            <w:vAlign w:val="bottom"/>
          </w:tcPr>
          <w:p>
            <w:pPr>
              <w:ind w:left="360"/>
              <w:spacing w:after="0"/>
              <w:rPr>
                <w:sz w:val="20"/>
                <w:szCs w:val="20"/>
                <w:color w:val="auto"/>
              </w:rPr>
            </w:pPr>
            <w:r>
              <w:rPr>
                <w:rFonts w:ascii="Calibri" w:cs="Calibri" w:eastAsia="Calibri" w:hAnsi="Calibri"/>
                <w:sz w:val="18"/>
                <w:szCs w:val="18"/>
                <w:color w:val="auto"/>
              </w:rPr>
              <w:t>Adjusted for specifed items: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Calibri" w:cs="Calibri" w:eastAsia="Calibri" w:hAnsi="Calibri"/>
                <w:sz w:val="18"/>
                <w:szCs w:val="18"/>
                <w:color w:val="auto"/>
              </w:rPr>
              <w:t>Intangible asset amortzaton</w:t>
            </w:r>
          </w:p>
        </w:tc>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1,961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1,636</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0.92</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Acquisiton and integraton costs</w:t>
            </w:r>
          </w:p>
        </w:tc>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215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199</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0.11</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Change in fair value of contngent consideraton</w:t>
            </w:r>
          </w:p>
        </w:tc>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2,114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2,113</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1.19</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Calibri" w:cs="Calibri" w:eastAsia="Calibri" w:hAnsi="Calibri"/>
                <w:sz w:val="18"/>
                <w:szCs w:val="18"/>
                <w:color w:val="auto"/>
              </w:rPr>
              <w:t>Income tax items</w:t>
            </w:r>
          </w:p>
        </w:tc>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(143)</w:t>
            </w:r>
          </w:p>
        </w:tc>
        <w:tc>
          <w:tcPr>
            <w:tcW w:w="380" w:type="dxa"/>
            <w:vAlign w:val="bottom"/>
          </w:tcPr>
          <w:p>
            <w:pPr>
              <w:spacing w:after="0"/>
              <w:rPr>
                <w:sz w:val="19"/>
                <w:szCs w:val="19"/>
                <w:color w:val="auto"/>
              </w:rPr>
            </w:pPr>
          </w:p>
        </w:tc>
        <w:tc>
          <w:tcPr>
            <w:tcW w:w="1120" w:type="dxa"/>
            <w:vAlign w:val="bottom"/>
          </w:tcPr>
          <w:p>
            <w:pPr>
              <w:jc w:val="center"/>
              <w:ind w:left="570"/>
              <w:spacing w:after="0"/>
              <w:rPr>
                <w:sz w:val="20"/>
                <w:szCs w:val="20"/>
                <w:color w:val="auto"/>
              </w:rPr>
            </w:pPr>
            <w:r>
              <w:rPr>
                <w:rFonts w:ascii="Calibri" w:cs="Calibri" w:eastAsia="Calibri" w:hAnsi="Calibri"/>
                <w:sz w:val="18"/>
                <w:szCs w:val="18"/>
                <w:color w:val="auto"/>
                <w:w w:val="97"/>
              </w:rPr>
              <w:t>(0.08)</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157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144</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0.08</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Calibri" w:cs="Calibri" w:eastAsia="Calibri" w:hAnsi="Calibri"/>
                <w:sz w:val="18"/>
                <w:szCs w:val="18"/>
                <w:b w:val="1"/>
                <w:bCs w:val="1"/>
                <w:color w:val="auto"/>
              </w:rPr>
              <w:t>As adjusted (non-GAAP)</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7,412</w:t>
            </w:r>
          </w:p>
        </w:tc>
        <w:tc>
          <w:tcPr>
            <w:tcW w:w="38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6,422</w:t>
            </w:r>
          </w:p>
        </w:tc>
        <w:tc>
          <w:tcPr>
            <w:tcW w:w="3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tcBorders>
          </w:tcPr>
          <w:p>
            <w:pPr>
              <w:jc w:val="center"/>
              <w:ind w:left="590"/>
              <w:spacing w:after="0" w:line="215" w:lineRule="exact"/>
              <w:rPr>
                <w:sz w:val="20"/>
                <w:szCs w:val="20"/>
                <w:color w:val="auto"/>
              </w:rPr>
            </w:pPr>
            <w:r>
              <w:rPr>
                <w:rFonts w:ascii="Calibri" w:cs="Calibri" w:eastAsia="Calibri" w:hAnsi="Calibri"/>
                <w:sz w:val="18"/>
                <w:szCs w:val="18"/>
                <w:b w:val="1"/>
                <w:bCs w:val="1"/>
                <w:color w:val="auto"/>
                <w:w w:val="99"/>
              </w:rPr>
              <w:t>3.60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0" w:hanging="72"/>
        <w:spacing w:after="0"/>
        <w:tabs>
          <w:tab w:leader="none" w:pos="120" w:val="left"/>
        </w:tabs>
        <w:numPr>
          <w:ilvl w:val="0"/>
          <w:numId w:val="12"/>
        </w:numPr>
        <w:rPr>
          <w:rFonts w:ascii="Times New Roman" w:cs="Times New Roman" w:eastAsia="Times New Roman" w:hAnsi="Times New Roman"/>
          <w:sz w:val="19"/>
          <w:szCs w:val="19"/>
          <w:color w:val="auto"/>
          <w:vertAlign w:val="superscript"/>
        </w:rPr>
      </w:pPr>
      <w:r>
        <w:rPr>
          <w:rFonts w:ascii="Calibri" w:cs="Calibri" w:eastAsia="Calibri" w:hAnsi="Calibri"/>
          <w:sz w:val="14"/>
          <w:szCs w:val="14"/>
          <w:color w:val="auto"/>
        </w:rPr>
        <w:t>Represents net earnings atributable to AbbVie Inc.</w:t>
      </w:r>
    </w:p>
    <w:p>
      <w:pPr>
        <w:spacing w:after="0" w:line="173" w:lineRule="exact"/>
        <w:rPr>
          <w:sz w:val="20"/>
          <w:szCs w:val="20"/>
          <w:color w:val="auto"/>
        </w:rPr>
      </w:pPr>
    </w:p>
    <w:p>
      <w:pPr>
        <w:jc w:val="both"/>
        <w:ind w:right="140"/>
        <w:spacing w:after="0" w:line="242" w:lineRule="auto"/>
        <w:rPr>
          <w:sz w:val="20"/>
          <w:szCs w:val="20"/>
          <w:color w:val="auto"/>
        </w:rPr>
      </w:pPr>
      <w:r>
        <w:rPr>
          <w:rFonts w:ascii="Calibri" w:cs="Calibri" w:eastAsia="Calibri" w:hAnsi="Calibri"/>
          <w:sz w:val="17"/>
          <w:szCs w:val="17"/>
          <w:color w:val="auto"/>
        </w:rPr>
        <w:t>Acquisiton and integraton costs primarily include costs related to the Allergan acquisiton. Income tax items include a beneft of $323 million related to tax law changes partally ofset by certain other tax related items. Other primarily includes restructuring charges associated with streamlining global operatons.</w:t>
      </w:r>
    </w:p>
    <w:p>
      <w:pPr>
        <w:spacing w:after="0" w:line="162" w:lineRule="exact"/>
        <w:rPr>
          <w:sz w:val="20"/>
          <w:szCs w:val="20"/>
          <w:color w:val="auto"/>
        </w:rPr>
      </w:pPr>
    </w:p>
    <w:p>
      <w:pPr>
        <w:ind w:right="120"/>
        <w:spacing w:after="0" w:line="225" w:lineRule="auto"/>
        <w:rPr>
          <w:sz w:val="20"/>
          <w:szCs w:val="20"/>
          <w:color w:val="auto"/>
        </w:rPr>
      </w:pPr>
      <w:r>
        <w:rPr>
          <w:rFonts w:ascii="Calibri" w:cs="Calibri" w:eastAsia="Calibri" w:hAnsi="Calibri"/>
          <w:sz w:val="18"/>
          <w:szCs w:val="18"/>
          <w:color w:val="auto"/>
        </w:rPr>
        <w:t>Beginning in the frst quarter of 2022, the company includes acquired IPR&amp;D and milestones expense in its reported non-GAAP fnancial measures. Reported GAAP earnings and adjusted non-GAAP earnings for the three months ended December 31, 2022 included acquired IPR&amp;D and milestones expense of $243 million on a pre-tax and afer-tax basis, representng an unfavorable impact of $0.13 to both diluted EPS and adjusted diluted EPS.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gridSpan w:val="2"/>
          </w:tcPr>
          <w:p>
            <w:pPr>
              <w:spacing w:after="0"/>
              <w:rPr>
                <w:sz w:val="20"/>
                <w:szCs w:val="20"/>
                <w:color w:val="auto"/>
              </w:rPr>
            </w:pPr>
            <w:r>
              <w:rPr>
                <w:rFonts w:ascii="Calibri" w:cs="Calibri" w:eastAsia="Calibri" w:hAnsi="Calibri"/>
                <w:sz w:val="18"/>
                <w:szCs w:val="18"/>
                <w:color w:val="auto"/>
              </w:rPr>
              <w:t>2.  The impact of the specifed items by line item was as follows: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180" w:type="dxa"/>
            <w:vAlign w:val="bottom"/>
            <w:gridSpan w:val="3"/>
          </w:tcPr>
          <w:p>
            <w:pPr>
              <w:jc w:val="center"/>
              <w:ind w:right="12"/>
              <w:spacing w:after="0"/>
              <w:rPr>
                <w:sz w:val="20"/>
                <w:szCs w:val="20"/>
                <w:color w:val="auto"/>
              </w:rPr>
            </w:pPr>
            <w:r>
              <w:rPr>
                <w:rFonts w:ascii="Calibri" w:cs="Calibri" w:eastAsia="Calibri" w:hAnsi="Calibri"/>
                <w:sz w:val="18"/>
                <w:szCs w:val="18"/>
                <w:b w:val="1"/>
                <w:bCs w:val="1"/>
                <w:color w:val="auto"/>
                <w:w w:val="97"/>
              </w:rPr>
              <w:t>Quarter Ended December 31, 2022</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80" w:type="dxa"/>
            <w:vAlign w:val="bottom"/>
            <w:vMerge w:val="restart"/>
          </w:tcPr>
          <w:p>
            <w:pPr>
              <w:ind w:left="360"/>
              <w:spacing w:after="0" w:line="204" w:lineRule="exact"/>
              <w:rPr>
                <w:sz w:val="20"/>
                <w:szCs w:val="20"/>
                <w:color w:val="auto"/>
              </w:rPr>
            </w:pPr>
            <w:r>
              <w:rPr>
                <w:rFonts w:ascii="Calibri" w:cs="Calibri" w:eastAsia="Calibri" w:hAnsi="Calibri"/>
                <w:sz w:val="18"/>
                <w:szCs w:val="18"/>
                <w:b w:val="1"/>
                <w:bCs w:val="1"/>
                <w:color w:val="auto"/>
              </w:rPr>
              <w:t>(in millions)</w:t>
            </w: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38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jc w:val="center"/>
              <w:ind w:left="72"/>
              <w:spacing w:after="0" w:line="160" w:lineRule="exact"/>
              <w:rPr>
                <w:sz w:val="20"/>
                <w:szCs w:val="20"/>
                <w:color w:val="auto"/>
              </w:rPr>
            </w:pPr>
            <w:r>
              <w:rPr>
                <w:rFonts w:ascii="Calibri" w:cs="Calibri" w:eastAsia="Calibri" w:hAnsi="Calibri"/>
                <w:sz w:val="17"/>
                <w:szCs w:val="17"/>
                <w:color w:val="auto"/>
              </w:rPr>
              <w:t>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1200" w:type="dxa"/>
            <w:vAlign w:val="bottom"/>
          </w:tcPr>
          <w:p>
            <w:pPr>
              <w:jc w:val="center"/>
              <w:ind w:right="90"/>
              <w:spacing w:after="0" w:line="175" w:lineRule="exact"/>
              <w:rPr>
                <w:sz w:val="20"/>
                <w:szCs w:val="20"/>
                <w:color w:val="auto"/>
              </w:rPr>
            </w:pPr>
            <w:r>
              <w:rPr>
                <w:rFonts w:ascii="Calibri" w:cs="Calibri" w:eastAsia="Calibri" w:hAnsi="Calibri"/>
                <w:sz w:val="18"/>
                <w:szCs w:val="18"/>
                <w:color w:val="auto"/>
                <w:w w:val="97"/>
              </w:rPr>
              <w:t>Cost of</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jc w:val="center"/>
              <w:ind w:left="52"/>
              <w:spacing w:after="0" w:line="175" w:lineRule="exact"/>
              <w:rPr>
                <w:sz w:val="20"/>
                <w:szCs w:val="20"/>
                <w:color w:val="auto"/>
              </w:rPr>
            </w:pPr>
            <w:r>
              <w:rPr>
                <w:rFonts w:ascii="Calibri" w:cs="Calibri" w:eastAsia="Calibri" w:hAnsi="Calibri"/>
                <w:sz w:val="18"/>
                <w:szCs w:val="18"/>
                <w:color w:val="auto"/>
              </w:rPr>
              <w:t>operatng</w:t>
            </w:r>
          </w:p>
        </w:tc>
        <w:tc>
          <w:tcPr>
            <w:tcW w:w="1080" w:type="dxa"/>
            <w:vAlign w:val="bottom"/>
          </w:tcPr>
          <w:p>
            <w:pPr>
              <w:jc w:val="center"/>
              <w:ind w:left="10"/>
              <w:spacing w:after="0" w:line="175" w:lineRule="exact"/>
              <w:rPr>
                <w:sz w:val="20"/>
                <w:szCs w:val="20"/>
                <w:color w:val="auto"/>
              </w:rPr>
            </w:pPr>
            <w:r>
              <w:rPr>
                <w:rFonts w:ascii="Calibri" w:cs="Calibri" w:eastAsia="Calibri" w:hAnsi="Calibri"/>
                <w:sz w:val="18"/>
                <w:szCs w:val="18"/>
                <w:color w:val="auto"/>
                <w:w w:val="98"/>
              </w:rPr>
              <w:t>Other</w:t>
            </w:r>
          </w:p>
        </w:tc>
        <w:tc>
          <w:tcPr>
            <w:tcW w:w="0" w:type="dxa"/>
            <w:vAlign w:val="bottom"/>
          </w:tcPr>
          <w:p>
            <w:pPr>
              <w:spacing w:after="0"/>
              <w:rPr>
                <w:sz w:val="1"/>
                <w:szCs w:val="1"/>
                <w:color w:val="auto"/>
              </w:rPr>
            </w:pPr>
          </w:p>
        </w:tc>
      </w:tr>
      <w:tr>
        <w:trPr>
          <w:trHeight w:val="228"/>
        </w:trPr>
        <w:tc>
          <w:tcPr>
            <w:tcW w:w="5380" w:type="dxa"/>
            <w:vAlign w:val="bottom"/>
          </w:tcPr>
          <w:p>
            <w:pPr>
              <w:spacing w:after="0"/>
              <w:rPr>
                <w:sz w:val="19"/>
                <w:szCs w:val="19"/>
                <w:color w:val="auto"/>
              </w:rPr>
            </w:pPr>
          </w:p>
        </w:tc>
        <w:tc>
          <w:tcPr>
            <w:tcW w:w="1200" w:type="dxa"/>
            <w:vAlign w:val="bottom"/>
          </w:tcPr>
          <w:p>
            <w:pPr>
              <w:jc w:val="center"/>
              <w:ind w:right="90"/>
              <w:spacing w:after="0" w:line="215" w:lineRule="exact"/>
              <w:rPr>
                <w:sz w:val="20"/>
                <w:szCs w:val="20"/>
                <w:color w:val="auto"/>
              </w:rPr>
            </w:pPr>
            <w:r>
              <w:rPr>
                <w:rFonts w:ascii="Calibri" w:cs="Calibri" w:eastAsia="Calibri" w:hAnsi="Calibri"/>
                <w:sz w:val="18"/>
                <w:szCs w:val="18"/>
                <w:color w:val="auto"/>
                <w:w w:val="98"/>
              </w:rPr>
              <w:t>products sold</w:t>
            </w:r>
          </w:p>
        </w:tc>
        <w:tc>
          <w:tcPr>
            <w:tcW w:w="1000" w:type="dxa"/>
            <w:vAlign w:val="bottom"/>
          </w:tcPr>
          <w:p>
            <w:pPr>
              <w:ind w:left="220"/>
              <w:spacing w:after="0"/>
              <w:rPr>
                <w:sz w:val="20"/>
                <w:szCs w:val="20"/>
                <w:color w:val="auto"/>
              </w:rPr>
            </w:pPr>
            <w:r>
              <w:rPr>
                <w:rFonts w:ascii="Calibri" w:cs="Calibri" w:eastAsia="Calibri" w:hAnsi="Calibri"/>
                <w:sz w:val="18"/>
                <w:szCs w:val="18"/>
                <w:color w:val="auto"/>
              </w:rPr>
              <w:t>SG&amp;A</w:t>
            </w:r>
          </w:p>
        </w:tc>
        <w:tc>
          <w:tcPr>
            <w:tcW w:w="960" w:type="dxa"/>
            <w:vAlign w:val="bottom"/>
          </w:tcPr>
          <w:p>
            <w:pPr>
              <w:jc w:val="center"/>
              <w:ind w:left="10"/>
              <w:spacing w:after="0"/>
              <w:rPr>
                <w:sz w:val="20"/>
                <w:szCs w:val="20"/>
                <w:color w:val="auto"/>
              </w:rPr>
            </w:pPr>
            <w:r>
              <w:rPr>
                <w:rFonts w:ascii="Calibri" w:cs="Calibri" w:eastAsia="Calibri" w:hAnsi="Calibri"/>
                <w:sz w:val="18"/>
                <w:szCs w:val="18"/>
                <w:color w:val="auto"/>
              </w:rPr>
              <w:t>R&amp;D</w:t>
            </w:r>
          </w:p>
        </w:tc>
        <w:tc>
          <w:tcPr>
            <w:tcW w:w="1220" w:type="dxa"/>
            <w:vAlign w:val="bottom"/>
          </w:tcPr>
          <w:p>
            <w:pPr>
              <w:jc w:val="center"/>
              <w:ind w:left="52"/>
              <w:spacing w:after="0"/>
              <w:rPr>
                <w:sz w:val="20"/>
                <w:szCs w:val="20"/>
                <w:color w:val="auto"/>
              </w:rPr>
            </w:pPr>
            <w:r>
              <w:rPr>
                <w:rFonts w:ascii="Calibri" w:cs="Calibri" w:eastAsia="Calibri" w:hAnsi="Calibri"/>
                <w:sz w:val="18"/>
                <w:szCs w:val="18"/>
                <w:color w:val="auto"/>
                <w:w w:val="96"/>
              </w:rPr>
              <w:t>income, net</w:t>
            </w:r>
          </w:p>
        </w:tc>
        <w:tc>
          <w:tcPr>
            <w:tcW w:w="10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expense,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47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5020" w:type="dxa"/>
            <w:vAlign w:val="bottom"/>
          </w:tcPr>
          <w:p>
            <w:pPr>
              <w:spacing w:after="0"/>
              <w:rPr>
                <w:sz w:val="20"/>
                <w:szCs w:val="20"/>
                <w:color w:val="auto"/>
              </w:rPr>
            </w:pPr>
            <w:r>
              <w:rPr>
                <w:rFonts w:ascii="Calibri" w:cs="Calibri" w:eastAsia="Calibri" w:hAnsi="Calibri"/>
                <w:sz w:val="18"/>
                <w:szCs w:val="18"/>
                <w:b w:val="1"/>
                <w:bCs w:val="1"/>
                <w:color w:val="auto"/>
              </w:rPr>
              <w:t>As reported (GAAP)</w:t>
            </w:r>
          </w:p>
        </w:tc>
        <w:tc>
          <w:tcPr>
            <w:tcW w:w="30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4,170</w:t>
            </w:r>
          </w:p>
        </w:tc>
        <w:tc>
          <w:tcPr>
            <w:tcW w:w="38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3,417</w:t>
            </w:r>
          </w:p>
        </w:tc>
        <w:tc>
          <w:tcPr>
            <w:tcW w:w="3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1,790</w:t>
            </w:r>
          </w:p>
        </w:tc>
        <w:tc>
          <w:tcPr>
            <w:tcW w:w="500" w:type="dxa"/>
            <w:vAlign w:val="bottom"/>
          </w:tcPr>
          <w:p>
            <w:pPr>
              <w:jc w:val="right"/>
              <w:ind w:right="250"/>
              <w:spacing w:after="0"/>
              <w:rPr>
                <w:sz w:val="20"/>
                <w:szCs w:val="20"/>
                <w:color w:val="auto"/>
              </w:rPr>
            </w:pPr>
            <w:r>
              <w:rPr>
                <w:rFonts w:ascii="Calibri" w:cs="Calibri" w:eastAsia="Calibri" w:hAnsi="Calibri"/>
                <w:sz w:val="18"/>
                <w:szCs w:val="18"/>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3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b w:val="1"/>
                <w:bCs w:val="1"/>
                <w:color w:val="auto"/>
              </w:rPr>
              <w:t>2,021</w:t>
            </w:r>
          </w:p>
        </w:tc>
      </w:tr>
      <w:tr>
        <w:trPr>
          <w:trHeight w:val="230"/>
        </w:trPr>
        <w:tc>
          <w:tcPr>
            <w:tcW w:w="5020" w:type="dxa"/>
            <w:vAlign w:val="bottom"/>
          </w:tcPr>
          <w:p>
            <w:pPr>
              <w:spacing w:after="0"/>
              <w:rPr>
                <w:sz w:val="20"/>
                <w:szCs w:val="20"/>
                <w:color w:val="auto"/>
              </w:rPr>
            </w:pPr>
            <w:r>
              <w:rPr>
                <w:rFonts w:ascii="Calibri" w:cs="Calibri" w:eastAsia="Calibri" w:hAnsi="Calibri"/>
                <w:sz w:val="18"/>
                <w:szCs w:val="18"/>
                <w:color w:val="auto"/>
              </w:rPr>
              <w:t>Adjusted for specifed items: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5020" w:type="dxa"/>
            <w:vAlign w:val="bottom"/>
          </w:tcPr>
          <w:p>
            <w:pPr>
              <w:ind w:left="120"/>
              <w:spacing w:after="0"/>
              <w:rPr>
                <w:sz w:val="20"/>
                <w:szCs w:val="20"/>
                <w:color w:val="auto"/>
              </w:rPr>
            </w:pPr>
            <w:r>
              <w:rPr>
                <w:rFonts w:ascii="Calibri" w:cs="Calibri" w:eastAsia="Calibri" w:hAnsi="Calibri"/>
                <w:sz w:val="18"/>
                <w:szCs w:val="18"/>
                <w:color w:val="auto"/>
              </w:rPr>
              <w:t>Intangible asset amortzaton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(1,961)</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020" w:type="dxa"/>
            <w:vAlign w:val="bottom"/>
          </w:tcPr>
          <w:p>
            <w:pPr>
              <w:ind w:left="120"/>
              <w:spacing w:after="0"/>
              <w:rPr>
                <w:sz w:val="20"/>
                <w:szCs w:val="20"/>
                <w:color w:val="auto"/>
              </w:rPr>
            </w:pPr>
            <w:r>
              <w:rPr>
                <w:rFonts w:ascii="Calibri" w:cs="Calibri" w:eastAsia="Calibri" w:hAnsi="Calibri"/>
                <w:sz w:val="18"/>
                <w:szCs w:val="18"/>
                <w:color w:val="auto"/>
              </w:rPr>
              <w:t>Acquisiton and integraton costs</w:t>
            </w:r>
          </w:p>
        </w:tc>
        <w:tc>
          <w:tcPr>
            <w:tcW w:w="3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(205)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(11)</w:t>
            </w:r>
          </w:p>
        </w:tc>
        <w:tc>
          <w:tcPr>
            <w:tcW w:w="5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020" w:type="dxa"/>
            <w:vAlign w:val="bottom"/>
          </w:tcPr>
          <w:p>
            <w:pPr>
              <w:ind w:left="100"/>
              <w:spacing w:after="0"/>
              <w:rPr>
                <w:sz w:val="20"/>
                <w:szCs w:val="20"/>
                <w:color w:val="auto"/>
              </w:rPr>
            </w:pPr>
            <w:r>
              <w:rPr>
                <w:rFonts w:ascii="Calibri" w:cs="Calibri" w:eastAsia="Calibri" w:hAnsi="Calibri"/>
                <w:sz w:val="18"/>
                <w:szCs w:val="18"/>
                <w:color w:val="auto"/>
              </w:rPr>
              <w:t>Change in fair value of contngent consideraton</w:t>
            </w:r>
          </w:p>
        </w:tc>
        <w:tc>
          <w:tcPr>
            <w:tcW w:w="3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(2,114)</w:t>
            </w:r>
          </w:p>
        </w:tc>
      </w:tr>
      <w:tr>
        <w:trPr>
          <w:trHeight w:val="230"/>
        </w:trPr>
        <w:tc>
          <w:tcPr>
            <w:tcW w:w="5020" w:type="dxa"/>
            <w:vAlign w:val="bottom"/>
          </w:tcPr>
          <w:p>
            <w:pPr>
              <w:ind w:left="120"/>
              <w:spacing w:after="0"/>
              <w:rPr>
                <w:sz w:val="20"/>
                <w:szCs w:val="20"/>
                <w:color w:val="auto"/>
              </w:rPr>
            </w:pPr>
            <w:r>
              <w:rPr>
                <w:rFonts w:ascii="Calibri" w:cs="Calibri" w:eastAsia="Calibri" w:hAnsi="Calibri"/>
                <w:sz w:val="18"/>
                <w:szCs w:val="18"/>
                <w:color w:val="auto"/>
              </w:rPr>
              <w:t>Other</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(99)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(38)</w:t>
            </w:r>
          </w:p>
        </w:tc>
        <w:tc>
          <w:tcPr>
            <w:tcW w:w="5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Calibri" w:cs="Calibri" w:eastAsia="Calibri" w:hAnsi="Calibri"/>
                <w:sz w:val="18"/>
                <w:szCs w:val="18"/>
                <w:color w:val="auto"/>
              </w:rPr>
              <w:t>1</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41</w:t>
            </w:r>
          </w:p>
        </w:tc>
      </w:tr>
      <w:tr>
        <w:trPr>
          <w:trHeight w:val="2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5020" w:type="dxa"/>
            <w:vAlign w:val="bottom"/>
          </w:tcPr>
          <w:p>
            <w:pPr>
              <w:spacing w:after="0"/>
              <w:rPr>
                <w:sz w:val="20"/>
                <w:szCs w:val="20"/>
                <w:color w:val="auto"/>
              </w:rPr>
            </w:pPr>
            <w:r>
              <w:rPr>
                <w:rFonts w:ascii="Calibri" w:cs="Calibri" w:eastAsia="Calibri" w:hAnsi="Calibri"/>
                <w:sz w:val="18"/>
                <w:szCs w:val="18"/>
                <w:b w:val="1"/>
                <w:bCs w:val="1"/>
                <w:color w:val="auto"/>
              </w:rPr>
              <w:t>As adjusted (non-GAAP)</w:t>
            </w: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2,111</w:t>
            </w:r>
          </w:p>
        </w:tc>
        <w:tc>
          <w:tcPr>
            <w:tcW w:w="38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3,150</w:t>
            </w:r>
          </w:p>
        </w:tc>
        <w:tc>
          <w:tcPr>
            <w:tcW w:w="3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1,741</w:t>
            </w:r>
          </w:p>
        </w:tc>
        <w:tc>
          <w:tcPr>
            <w:tcW w:w="500" w:type="dxa"/>
            <w:vAlign w:val="bottom"/>
            <w:tcBorders>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b w:val="1"/>
                <w:bCs w:val="1"/>
                <w:color w:val="auto"/>
              </w:rPr>
              <w:t>$</w:t>
            </w:r>
          </w:p>
        </w:tc>
        <w:tc>
          <w:tcPr>
            <w:tcW w:w="6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3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(52)</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color w:val="auto"/>
        </w:rPr>
        <w:t>3.</w:t>
      </w:r>
      <w:r>
        <w:rPr>
          <w:sz w:val="20"/>
          <w:szCs w:val="20"/>
          <w:color w:val="auto"/>
        </w:rPr>
        <w:tab/>
      </w:r>
      <w:r>
        <w:rPr>
          <w:rFonts w:ascii="Calibri" w:cs="Calibri" w:eastAsia="Calibri" w:hAnsi="Calibri"/>
          <w:sz w:val="17"/>
          <w:szCs w:val="17"/>
          <w:color w:val="auto"/>
        </w:rPr>
        <w:t>The adjusted tax rate for the fourth quarter of 2022 was 13.4 percent, as detailed below:</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60" w:type="dxa"/>
            <w:vAlign w:val="bottom"/>
            <w:gridSpan w:val="4"/>
          </w:tcPr>
          <w:p>
            <w:pPr>
              <w:jc w:val="right"/>
              <w:ind w:right="830"/>
              <w:spacing w:after="0"/>
              <w:rPr>
                <w:sz w:val="20"/>
                <w:szCs w:val="20"/>
                <w:color w:val="auto"/>
              </w:rPr>
            </w:pPr>
            <w:r>
              <w:rPr>
                <w:rFonts w:ascii="Calibri" w:cs="Calibri" w:eastAsia="Calibri" w:hAnsi="Calibri"/>
                <w:sz w:val="18"/>
                <w:szCs w:val="18"/>
                <w:b w:val="1"/>
                <w:bCs w:val="1"/>
                <w:color w:val="auto"/>
              </w:rPr>
              <w:t>Quarter Ended December 31, 2022</w:t>
            </w:r>
          </w:p>
        </w:tc>
        <w:tc>
          <w:tcPr>
            <w:tcW w:w="0" w:type="dxa"/>
            <w:vAlign w:val="bottom"/>
          </w:tcPr>
          <w:p>
            <w:pPr>
              <w:spacing w:after="0"/>
              <w:rPr>
                <w:sz w:val="1"/>
                <w:szCs w:val="1"/>
                <w:color w:val="auto"/>
              </w:rPr>
            </w:pPr>
          </w:p>
        </w:tc>
      </w:tr>
      <w:tr>
        <w:trPr>
          <w:trHeight w:val="23"/>
        </w:trPr>
        <w:tc>
          <w:tcPr>
            <w:tcW w:w="6120" w:type="dxa"/>
            <w:vAlign w:val="bottom"/>
            <w:vMerge w:val="restart"/>
          </w:tcPr>
          <w:p>
            <w:pPr>
              <w:spacing w:after="0"/>
              <w:rPr>
                <w:sz w:val="20"/>
                <w:szCs w:val="20"/>
                <w:color w:val="auto"/>
              </w:rPr>
            </w:pPr>
            <w:r>
              <w:rPr>
                <w:rFonts w:ascii="Calibri" w:cs="Calibri" w:eastAsia="Calibri" w:hAnsi="Calibri"/>
                <w:sz w:val="18"/>
                <w:szCs w:val="18"/>
                <w:b w:val="1"/>
                <w:bCs w:val="1"/>
                <w:color w:val="auto"/>
              </w:rPr>
              <w:t>(dollars in millions)</w:t>
            </w: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1380" w:type="dxa"/>
            <w:vAlign w:val="bottom"/>
            <w:tcBorders>
              <w:bottom w:val="single" w:sz="8" w:color="auto"/>
            </w:tcBorders>
            <w:gridSpan w:val="2"/>
          </w:tcPr>
          <w:p>
            <w:pPr>
              <w:jc w:val="right"/>
              <w:ind w:right="50"/>
              <w:spacing w:after="0" w:line="208" w:lineRule="exact"/>
              <w:rPr>
                <w:sz w:val="20"/>
                <w:szCs w:val="20"/>
                <w:color w:val="auto"/>
              </w:rPr>
            </w:pPr>
            <w:r>
              <w:rPr>
                <w:rFonts w:ascii="Calibri" w:cs="Calibri" w:eastAsia="Calibri" w:hAnsi="Calibri"/>
                <w:sz w:val="18"/>
                <w:szCs w:val="18"/>
                <w:color w:val="auto"/>
              </w:rPr>
              <w:t>Pre-tax earnings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color w:val="auto"/>
                <w:w w:val="98"/>
              </w:rPr>
              <w:t>Income taxes</w:t>
            </w:r>
          </w:p>
        </w:tc>
        <w:tc>
          <w:tcPr>
            <w:tcW w:w="130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color w:val="auto"/>
              </w:rPr>
              <w:t>Tax rate</w:t>
            </w:r>
          </w:p>
        </w:tc>
        <w:tc>
          <w:tcPr>
            <w:tcW w:w="0" w:type="dxa"/>
            <w:vAlign w:val="bottom"/>
          </w:tcPr>
          <w:p>
            <w:pPr>
              <w:spacing w:after="0"/>
              <w:rPr>
                <w:sz w:val="1"/>
                <w:szCs w:val="1"/>
                <w:color w:val="auto"/>
              </w:rPr>
            </w:pPr>
          </w:p>
        </w:tc>
      </w:tr>
      <w:tr>
        <w:trPr>
          <w:trHeight w:val="215"/>
        </w:trPr>
        <w:tc>
          <w:tcPr>
            <w:tcW w:w="6120" w:type="dxa"/>
            <w:vAlign w:val="bottom"/>
          </w:tcPr>
          <w:p>
            <w:pPr>
              <w:spacing w:after="0" w:line="206" w:lineRule="exact"/>
              <w:rPr>
                <w:sz w:val="20"/>
                <w:szCs w:val="20"/>
                <w:color w:val="auto"/>
              </w:rPr>
            </w:pPr>
            <w:r>
              <w:rPr>
                <w:rFonts w:ascii="Calibri" w:cs="Calibri" w:eastAsia="Calibri" w:hAnsi="Calibri"/>
                <w:sz w:val="18"/>
                <w:szCs w:val="18"/>
                <w:b w:val="1"/>
                <w:bCs w:val="1"/>
                <w:color w:val="auto"/>
              </w:rPr>
              <w:t>As reported (GAAP)</w:t>
            </w:r>
          </w:p>
        </w:tc>
        <w:tc>
          <w:tcPr>
            <w:tcW w:w="500" w:type="dxa"/>
            <w:vAlign w:val="bottom"/>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2,965</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4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493</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16.6 %</w:t>
            </w: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Calibri" w:cs="Calibri" w:eastAsia="Calibri" w:hAnsi="Calibri"/>
                <w:sz w:val="18"/>
                <w:szCs w:val="18"/>
                <w:color w:val="auto"/>
              </w:rPr>
              <w:t>Specifed items</w:t>
            </w:r>
          </w:p>
        </w:tc>
        <w:tc>
          <w:tcPr>
            <w:tcW w:w="5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Calibri" w:cs="Calibri" w:eastAsia="Calibri" w:hAnsi="Calibri"/>
                <w:sz w:val="18"/>
                <w:szCs w:val="18"/>
                <w:color w:val="auto"/>
              </w:rPr>
              <w:t>4,447</w:t>
            </w:r>
          </w:p>
        </w:tc>
        <w:tc>
          <w:tcPr>
            <w:tcW w:w="24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Calibri" w:cs="Calibri" w:eastAsia="Calibri" w:hAnsi="Calibri"/>
                <w:sz w:val="18"/>
                <w:szCs w:val="18"/>
                <w:color w:val="auto"/>
              </w:rPr>
              <w:t>498</w:t>
            </w:r>
          </w:p>
        </w:tc>
        <w:tc>
          <w:tcPr>
            <w:tcW w:w="1300" w:type="dxa"/>
            <w:vAlign w:val="bottom"/>
          </w:tcPr>
          <w:p>
            <w:pPr>
              <w:jc w:val="right"/>
              <w:spacing w:after="0"/>
              <w:rPr>
                <w:sz w:val="20"/>
                <w:szCs w:val="20"/>
                <w:color w:val="auto"/>
              </w:rPr>
            </w:pPr>
            <w:r>
              <w:rPr>
                <w:rFonts w:ascii="Calibri" w:cs="Calibri" w:eastAsia="Calibri" w:hAnsi="Calibri"/>
                <w:sz w:val="18"/>
                <w:szCs w:val="18"/>
                <w:color w:val="auto"/>
              </w:rPr>
              <w:t>11.2 %</w:t>
            </w: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Calibri" w:cs="Calibri" w:eastAsia="Calibri" w:hAnsi="Calibri"/>
                <w:sz w:val="18"/>
                <w:szCs w:val="18"/>
                <w:b w:val="1"/>
                <w:bCs w:val="1"/>
                <w:color w:val="auto"/>
              </w:rPr>
              <w:t>As adjusted (non-GAAP)</w:t>
            </w:r>
          </w:p>
        </w:tc>
        <w:tc>
          <w:tcPr>
            <w:tcW w:w="50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7,412</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40" w:type="dxa"/>
            <w:vAlign w:val="bottom"/>
            <w:tcBorders>
              <w:bottom w:val="single" w:sz="8" w:color="auto"/>
            </w:tcBorders>
          </w:tcPr>
          <w:p>
            <w:pPr>
              <w:jc w:val="right"/>
              <w:ind w:right="230"/>
              <w:spacing w:after="0" w:line="215" w:lineRule="exact"/>
              <w:rPr>
                <w:sz w:val="20"/>
                <w:szCs w:val="20"/>
                <w:color w:val="auto"/>
              </w:rPr>
            </w:pPr>
            <w:r>
              <w:rPr>
                <w:rFonts w:ascii="Calibri" w:cs="Calibri" w:eastAsia="Calibri" w:hAnsi="Calibri"/>
                <w:sz w:val="18"/>
                <w:szCs w:val="18"/>
                <w:b w:val="1"/>
                <w:bCs w:val="1"/>
                <w:color w:val="auto"/>
              </w:rPr>
              <w:t>991</w:t>
            </w: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13.4 %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40"/>
          </w:cols>
          <w:pgMar w:left="320" w:top="870" w:right="339" w:bottom="1440" w:gutter="0" w:footer="0" w:header="0"/>
        </w:sectPr>
      </w:pPr>
    </w:p>
    <w:bookmarkStart w:id="13" w:name="page14"/>
    <w:bookmarkEnd w:id="13"/>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rPr>
          <w:sz w:val="20"/>
          <w:szCs w:val="20"/>
          <w:color w:val="auto"/>
        </w:rPr>
      </w:pPr>
      <w:r>
        <w:rPr>
          <w:rFonts w:ascii="Calibri" w:cs="Calibri" w:eastAsia="Calibri" w:hAnsi="Calibri"/>
          <w:sz w:val="21"/>
          <w:szCs w:val="21"/>
          <w:b w:val="1"/>
          <w:bCs w:val="1"/>
          <w:color w:val="auto"/>
        </w:rPr>
        <w:t>Reconciliaton of GAAP Reported to Non-GAAP Adjusted Informaton</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(Unaudited)</w:t>
      </w:r>
    </w:p>
    <w:p>
      <w:pPr>
        <w:sectPr>
          <w:pgSz w:w="11900" w:h="16838" w:orient="portrait"/>
          <w:cols w:equalWidth="0" w:num="1">
            <w:col w:w="11240"/>
          </w:cols>
          <w:pgMar w:left="320" w:top="870" w:right="339" w:bottom="1440" w:gutter="0" w:footer="0" w:header="0"/>
        </w:sectPr>
      </w:pPr>
    </w:p>
    <w:p>
      <w:pPr>
        <w:spacing w:after="0" w:line="135"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color w:val="auto"/>
        </w:rPr>
        <w:t>1.</w:t>
      </w:r>
      <w:r>
        <w:rPr>
          <w:sz w:val="20"/>
          <w:szCs w:val="20"/>
          <w:color w:val="auto"/>
        </w:rPr>
        <w:tab/>
      </w:r>
      <w:r>
        <w:rPr>
          <w:rFonts w:ascii="Calibri" w:cs="Calibri" w:eastAsia="Calibri" w:hAnsi="Calibri"/>
          <w:sz w:val="17"/>
          <w:szCs w:val="17"/>
          <w:color w:val="auto"/>
        </w:rPr>
        <w:t>Specifed items impacted results as follows:</w:t>
      </w:r>
    </w:p>
    <w:p>
      <w:pPr>
        <w:spacing w:after="0" w:line="280"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(in millions, except per share data)</w:t>
      </w:r>
    </w:p>
    <w:p>
      <w:pPr>
        <w:spacing w:after="0" w:line="266"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As reported (GAAP)</w:t>
      </w:r>
    </w:p>
    <w:p>
      <w:pPr>
        <w:spacing w:after="0" w:line="10" w:lineRule="exact"/>
        <w:rPr>
          <w:sz w:val="20"/>
          <w:szCs w:val="20"/>
          <w:color w:val="auto"/>
        </w:rPr>
      </w:pPr>
    </w:p>
    <w:p>
      <w:pPr>
        <w:ind w:left="360"/>
        <w:spacing w:after="0"/>
        <w:rPr>
          <w:sz w:val="20"/>
          <w:szCs w:val="20"/>
          <w:color w:val="auto"/>
        </w:rPr>
      </w:pPr>
      <w:r>
        <w:rPr>
          <w:rFonts w:ascii="Calibri" w:cs="Calibri" w:eastAsia="Calibri" w:hAnsi="Calibri"/>
          <w:sz w:val="18"/>
          <w:szCs w:val="18"/>
          <w:color w:val="auto"/>
        </w:rPr>
        <w:t>Adjusted for specifed items:</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Intangible asset amortzaton</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Acquisiton and integraton costs</w:t>
      </w:r>
    </w:p>
    <w:p>
      <w:pPr>
        <w:spacing w:after="0" w:line="15" w:lineRule="exact"/>
        <w:rPr>
          <w:sz w:val="20"/>
          <w:szCs w:val="20"/>
          <w:color w:val="auto"/>
        </w:rPr>
      </w:pPr>
    </w:p>
    <w:p>
      <w:pPr>
        <w:ind w:left="480" w:right="1860"/>
        <w:spacing w:after="0" w:line="245" w:lineRule="auto"/>
        <w:rPr>
          <w:sz w:val="20"/>
          <w:szCs w:val="20"/>
          <w:color w:val="auto"/>
        </w:rPr>
      </w:pPr>
      <w:r>
        <w:rPr>
          <w:rFonts w:ascii="Calibri" w:cs="Calibri" w:eastAsia="Calibri" w:hAnsi="Calibri"/>
          <w:sz w:val="18"/>
          <w:szCs w:val="18"/>
          <w:color w:val="auto"/>
        </w:rPr>
        <w:t>Change in fair value of contngent consideraton Litgaton maters</w:t>
      </w:r>
    </w:p>
    <w:p>
      <w:pPr>
        <w:spacing w:after="0" w:line="6"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Impacts related to tax law changes</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Other</w:t>
      </w:r>
    </w:p>
    <w:p>
      <w:pPr>
        <w:spacing w:after="0" w:line="50"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As adjusted (non-GAAP)</w:t>
      </w:r>
    </w:p>
    <w:p>
      <w:pPr>
        <w:spacing w:after="0" w:line="244" w:lineRule="exact"/>
        <w:rPr>
          <w:sz w:val="20"/>
          <w:szCs w:val="20"/>
          <w:color w:val="auto"/>
        </w:rPr>
      </w:pPr>
    </w:p>
    <w:p>
      <w:pPr>
        <w:ind w:left="120" w:hanging="72"/>
        <w:spacing w:after="0"/>
        <w:tabs>
          <w:tab w:leader="none" w:pos="120" w:val="left"/>
        </w:tabs>
        <w:numPr>
          <w:ilvl w:val="0"/>
          <w:numId w:val="13"/>
        </w:numPr>
        <w:rPr>
          <w:rFonts w:ascii="Times New Roman" w:cs="Times New Roman" w:eastAsia="Times New Roman" w:hAnsi="Times New Roman"/>
          <w:sz w:val="19"/>
          <w:szCs w:val="19"/>
          <w:color w:val="auto"/>
          <w:vertAlign w:val="superscript"/>
        </w:rPr>
      </w:pPr>
      <w:r>
        <w:rPr>
          <w:rFonts w:ascii="Calibri" w:cs="Calibri" w:eastAsia="Calibri" w:hAnsi="Calibri"/>
          <w:sz w:val="14"/>
          <w:szCs w:val="14"/>
          <w:color w:val="auto"/>
        </w:rPr>
        <w:t>Represents net earnings atributable to AbbVie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940"/>
        <w:spacing w:after="0"/>
        <w:rPr>
          <w:sz w:val="20"/>
          <w:szCs w:val="20"/>
          <w:color w:val="auto"/>
        </w:rPr>
      </w:pPr>
      <w:r>
        <w:rPr>
          <w:rFonts w:ascii="Calibri" w:cs="Calibri" w:eastAsia="Calibri" w:hAnsi="Calibri"/>
          <w:sz w:val="18"/>
          <w:szCs w:val="18"/>
          <w:b w:val="1"/>
          <w:bCs w:val="1"/>
          <w:color w:val="auto"/>
        </w:rPr>
        <w:t>Quarter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802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Calibri" w:cs="Calibri" w:eastAsia="Calibri" w:hAnsi="Calibri"/>
                <w:sz w:val="18"/>
                <w:szCs w:val="18"/>
                <w:color w:val="auto"/>
              </w:rPr>
              <w:t>Earnings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center"/>
              <w:ind w:right="190"/>
              <w:spacing w:after="0"/>
              <w:rPr>
                <w:sz w:val="20"/>
                <w:szCs w:val="20"/>
                <w:color w:val="auto"/>
              </w:rPr>
            </w:pPr>
            <w:r>
              <w:rPr>
                <w:rFonts w:ascii="Calibri" w:cs="Calibri" w:eastAsia="Calibri" w:hAnsi="Calibri"/>
                <w:sz w:val="18"/>
                <w:szCs w:val="18"/>
                <w:color w:val="auto"/>
                <w:w w:val="97"/>
              </w:rPr>
              <w:t>Diluted</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vMerge w:val="restart"/>
          </w:tcPr>
          <w:p>
            <w:pPr>
              <w:jc w:val="center"/>
              <w:ind w:right="170"/>
              <w:spacing w:after="0"/>
              <w:rPr>
                <w:sz w:val="20"/>
                <w:szCs w:val="20"/>
                <w:color w:val="auto"/>
              </w:rPr>
            </w:pPr>
            <w:r>
              <w:rPr>
                <w:rFonts w:ascii="Calibri" w:cs="Calibri" w:eastAsia="Calibri" w:hAnsi="Calibri"/>
                <w:sz w:val="18"/>
                <w:szCs w:val="18"/>
                <w:color w:val="auto"/>
                <w:w w:val="98"/>
              </w:rPr>
              <w:t>EPS</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color w:val="auto"/>
              </w:rPr>
              <w:t>Pre-tax</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line="223" w:lineRule="exact"/>
              <w:rPr>
                <w:sz w:val="20"/>
                <w:szCs w:val="20"/>
                <w:color w:val="auto"/>
              </w:rPr>
            </w:pPr>
            <w:r>
              <w:rPr>
                <w:rFonts w:ascii="Calibri" w:cs="Calibri" w:eastAsia="Calibri" w:hAnsi="Calibri"/>
                <w:sz w:val="18"/>
                <w:szCs w:val="18"/>
                <w:color w:val="auto"/>
              </w:rPr>
              <w:t>Afer-tax</w:t>
            </w:r>
            <w:r>
              <w:rPr>
                <w:rFonts w:ascii="Calibri" w:cs="Calibri" w:eastAsia="Calibri" w:hAnsi="Calibri"/>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Pr>
          <w:p>
            <w:pPr>
              <w:jc w:val="right"/>
              <w:ind w:right="30"/>
              <w:spacing w:after="0" w:line="208" w:lineRule="exact"/>
              <w:rPr>
                <w:sz w:val="20"/>
                <w:szCs w:val="20"/>
                <w:color w:val="auto"/>
              </w:rPr>
            </w:pPr>
            <w:r>
              <w:rPr>
                <w:rFonts w:ascii="Calibri" w:cs="Calibri" w:eastAsia="Calibri" w:hAnsi="Calibri"/>
                <w:sz w:val="18"/>
                <w:szCs w:val="18"/>
                <w:b w:val="1"/>
                <w:bCs w:val="1"/>
                <w:color w:val="auto"/>
              </w:rPr>
              <w:t>4,271</w:t>
            </w:r>
          </w:p>
        </w:tc>
        <w:tc>
          <w:tcPr>
            <w:tcW w:w="36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4,044</w:t>
            </w:r>
          </w:p>
        </w:tc>
        <w:tc>
          <w:tcPr>
            <w:tcW w:w="38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Pr>
          <w:p>
            <w:pPr>
              <w:jc w:val="center"/>
              <w:ind w:left="590"/>
              <w:spacing w:after="0" w:line="208" w:lineRule="exact"/>
              <w:rPr>
                <w:sz w:val="20"/>
                <w:szCs w:val="20"/>
                <w:color w:val="auto"/>
              </w:rPr>
            </w:pPr>
            <w:r>
              <w:rPr>
                <w:rFonts w:ascii="Calibri" w:cs="Calibri" w:eastAsia="Calibri" w:hAnsi="Calibri"/>
                <w:sz w:val="18"/>
                <w:szCs w:val="18"/>
                <w:b w:val="1"/>
                <w:bCs w:val="1"/>
                <w:color w:val="auto"/>
                <w:w w:val="99"/>
              </w:rPr>
              <w:t>2.26</w:t>
            </w:r>
          </w:p>
        </w:tc>
        <w:tc>
          <w:tcPr>
            <w:tcW w:w="0" w:type="dxa"/>
            <w:vAlign w:val="bottom"/>
          </w:tcPr>
          <w:p>
            <w:pPr>
              <w:spacing w:after="0"/>
              <w:rPr>
                <w:sz w:val="1"/>
                <w:szCs w:val="1"/>
                <w:color w:val="auto"/>
              </w:rPr>
            </w:pPr>
          </w:p>
        </w:tc>
      </w:tr>
      <w:tr>
        <w:trPr>
          <w:trHeight w:val="450"/>
        </w:trPr>
        <w:tc>
          <w:tcPr>
            <w:tcW w:w="26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1,806</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1,490</w:t>
            </w:r>
          </w:p>
        </w:tc>
        <w:tc>
          <w:tcPr>
            <w:tcW w:w="380" w:type="dxa"/>
            <w:vAlign w:val="bottom"/>
          </w:tcPr>
          <w:p>
            <w:pPr>
              <w:spacing w:after="0"/>
              <w:rPr>
                <w:sz w:val="24"/>
                <w:szCs w:val="24"/>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0.84</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(191)</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(212)</w:t>
            </w:r>
          </w:p>
        </w:tc>
        <w:tc>
          <w:tcPr>
            <w:tcW w:w="380" w:type="dxa"/>
            <w:vAlign w:val="bottom"/>
          </w:tcPr>
          <w:p>
            <w:pPr>
              <w:spacing w:after="0"/>
              <w:rPr>
                <w:sz w:val="19"/>
                <w:szCs w:val="19"/>
                <w:color w:val="auto"/>
              </w:rPr>
            </w:pPr>
          </w:p>
        </w:tc>
        <w:tc>
          <w:tcPr>
            <w:tcW w:w="1120" w:type="dxa"/>
            <w:vAlign w:val="bottom"/>
          </w:tcPr>
          <w:p>
            <w:pPr>
              <w:jc w:val="center"/>
              <w:ind w:left="570"/>
              <w:spacing w:after="0"/>
              <w:rPr>
                <w:sz w:val="20"/>
                <w:szCs w:val="20"/>
                <w:color w:val="auto"/>
              </w:rPr>
            </w:pPr>
            <w:r>
              <w:rPr>
                <w:rFonts w:ascii="Calibri" w:cs="Calibri" w:eastAsia="Calibri" w:hAnsi="Calibri"/>
                <w:sz w:val="18"/>
                <w:szCs w:val="18"/>
                <w:color w:val="auto"/>
                <w:w w:val="97"/>
              </w:rPr>
              <w:t>(0.12)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232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232</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0.13</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200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167</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0.09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(265)</w:t>
            </w:r>
          </w:p>
        </w:tc>
        <w:tc>
          <w:tcPr>
            <w:tcW w:w="380" w:type="dxa"/>
            <w:vAlign w:val="bottom"/>
          </w:tcPr>
          <w:p>
            <w:pPr>
              <w:spacing w:after="0"/>
              <w:rPr>
                <w:sz w:val="19"/>
                <w:szCs w:val="19"/>
                <w:color w:val="auto"/>
              </w:rPr>
            </w:pPr>
          </w:p>
        </w:tc>
        <w:tc>
          <w:tcPr>
            <w:tcW w:w="1120" w:type="dxa"/>
            <w:vAlign w:val="bottom"/>
          </w:tcPr>
          <w:p>
            <w:pPr>
              <w:jc w:val="center"/>
              <w:ind w:left="570"/>
              <w:spacing w:after="0"/>
              <w:rPr>
                <w:sz w:val="20"/>
                <w:szCs w:val="20"/>
                <w:color w:val="auto"/>
              </w:rPr>
            </w:pPr>
            <w:r>
              <w:rPr>
                <w:rFonts w:ascii="Calibri" w:cs="Calibri" w:eastAsia="Calibri" w:hAnsi="Calibri"/>
                <w:sz w:val="18"/>
                <w:szCs w:val="18"/>
                <w:color w:val="auto"/>
                <w:w w:val="97"/>
              </w:rPr>
              <w:t>(0.15)</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41</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58</w:t>
            </w:r>
          </w:p>
        </w:tc>
        <w:tc>
          <w:tcPr>
            <w:tcW w:w="3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Calibri" w:cs="Calibri" w:eastAsia="Calibri" w:hAnsi="Calibri"/>
                <w:sz w:val="18"/>
                <w:szCs w:val="18"/>
                <w:color w:val="auto"/>
                <w:w w:val="93"/>
              </w:rPr>
              <w:t>0.03</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6,359</w:t>
            </w:r>
          </w:p>
        </w:tc>
        <w:tc>
          <w:tcPr>
            <w:tcW w:w="3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5,514</w:t>
            </w:r>
          </w:p>
        </w:tc>
        <w:tc>
          <w:tcPr>
            <w:tcW w:w="3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tcBorders>
          </w:tcPr>
          <w:p>
            <w:pPr>
              <w:jc w:val="center"/>
              <w:ind w:left="590"/>
              <w:spacing w:after="0" w:line="215" w:lineRule="exact"/>
              <w:rPr>
                <w:sz w:val="20"/>
                <w:szCs w:val="20"/>
                <w:color w:val="auto"/>
              </w:rPr>
            </w:pPr>
            <w:r>
              <w:rPr>
                <w:rFonts w:ascii="Calibri" w:cs="Calibri" w:eastAsia="Calibri" w:hAnsi="Calibri"/>
                <w:sz w:val="18"/>
                <w:szCs w:val="18"/>
                <w:b w:val="1"/>
                <w:bCs w:val="1"/>
                <w:color w:val="auto"/>
                <w:w w:val="99"/>
              </w:rPr>
              <w:t>3.08</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98" w:lineRule="exact"/>
        <w:rPr>
          <w:sz w:val="20"/>
          <w:szCs w:val="20"/>
          <w:color w:val="auto"/>
        </w:rPr>
      </w:pPr>
    </w:p>
    <w:p>
      <w:pPr>
        <w:sectPr>
          <w:pgSz w:w="11900" w:h="16838" w:orient="portrait"/>
          <w:cols w:equalWidth="0" w:num="2">
            <w:col w:w="5720" w:space="720"/>
            <w:col w:w="4800"/>
          </w:cols>
          <w:pgMar w:left="320" w:top="870" w:right="339" w:bottom="1440" w:gutter="0" w:footer="0" w:header="0"/>
          <w:type w:val="continuous"/>
        </w:sectPr>
      </w:pPr>
    </w:p>
    <w:p>
      <w:pPr>
        <w:ind w:right="140"/>
        <w:spacing w:after="0" w:line="227" w:lineRule="auto"/>
        <w:rPr>
          <w:sz w:val="20"/>
          <w:szCs w:val="20"/>
          <w:color w:val="auto"/>
        </w:rPr>
      </w:pPr>
      <w:r>
        <w:rPr>
          <w:rFonts w:ascii="Calibri" w:cs="Calibri" w:eastAsia="Calibri" w:hAnsi="Calibri"/>
          <w:sz w:val="18"/>
          <w:szCs w:val="18"/>
          <w:color w:val="auto"/>
        </w:rPr>
        <w:t>Acquisiton and integraton costs refect a recovery of certain Allergan acquisiton-related regulatory fees partally ofset by Allergan-related integraton costs and Soliton acquisiton costs. Other primarily includes COVID-19 related expenses and certain tax related items.</w:t>
      </w:r>
    </w:p>
    <w:p>
      <w:pPr>
        <w:spacing w:after="0" w:line="165" w:lineRule="exact"/>
        <w:rPr>
          <w:sz w:val="20"/>
          <w:szCs w:val="20"/>
          <w:color w:val="auto"/>
        </w:rPr>
      </w:pPr>
    </w:p>
    <w:p>
      <w:pPr>
        <w:ind w:right="120"/>
        <w:spacing w:after="0" w:line="225" w:lineRule="auto"/>
        <w:rPr>
          <w:sz w:val="20"/>
          <w:szCs w:val="20"/>
          <w:color w:val="auto"/>
        </w:rPr>
      </w:pPr>
      <w:r>
        <w:rPr>
          <w:rFonts w:ascii="Calibri" w:cs="Calibri" w:eastAsia="Calibri" w:hAnsi="Calibri"/>
          <w:sz w:val="18"/>
          <w:szCs w:val="18"/>
          <w:color w:val="auto"/>
        </w:rPr>
        <w:t>Beginning in the frst quarter of 2022, the company includes acquired IPR&amp;D and milestones expense in its reported non-GAAP fnancial measures. Reported GAAP earnings and adjusted non-GAAP earnings for the three months ended December 31, 2021 included acquired IPR&amp;D and milestones expense of $405 million on a pre-tax and afer-tax basis, representng an unfavorable impact of $0.23 to both diluted EPS and adjusted diluted EPS.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Calibri" w:cs="Calibri" w:eastAsia="Calibri" w:hAnsi="Calibri"/>
                <w:sz w:val="18"/>
                <w:szCs w:val="18"/>
                <w:color w:val="auto"/>
              </w:rPr>
              <w:t>2.  The impact of the specifed items by line item was as follows:</w:t>
            </w: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Quarter Ended December 31, 2021</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360"/>
              <w:spacing w:after="0" w:line="204" w:lineRule="exact"/>
              <w:rPr>
                <w:sz w:val="20"/>
                <w:szCs w:val="20"/>
                <w:color w:val="auto"/>
              </w:rPr>
            </w:pPr>
            <w:r>
              <w:rPr>
                <w:rFonts w:ascii="Calibri" w:cs="Calibri" w:eastAsia="Calibri" w:hAnsi="Calibri"/>
                <w:sz w:val="18"/>
                <w:szCs w:val="18"/>
                <w:b w:val="1"/>
                <w:bCs w:val="1"/>
                <w:color w:val="auto"/>
              </w:rPr>
              <w:t>(in millions)</w:t>
            </w: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860" w:type="dxa"/>
            <w:vAlign w:val="bottom"/>
            <w:vMerge w:val="continue"/>
          </w:tcPr>
          <w:p>
            <w:pPr>
              <w:spacing w:after="0"/>
              <w:rPr>
                <w:sz w:val="13"/>
                <w:szCs w:val="13"/>
                <w:color w:val="auto"/>
              </w:rPr>
            </w:pPr>
          </w:p>
        </w:tc>
        <w:tc>
          <w:tcPr>
            <w:tcW w:w="720" w:type="dxa"/>
            <w:vAlign w:val="bottom"/>
          </w:tcPr>
          <w:p>
            <w:pPr>
              <w:jc w:val="center"/>
              <w:ind w:left="92"/>
              <w:spacing w:after="0" w:line="160" w:lineRule="exact"/>
              <w:rPr>
                <w:sz w:val="20"/>
                <w:szCs w:val="20"/>
                <w:color w:val="auto"/>
              </w:rPr>
            </w:pPr>
            <w:r>
              <w:rPr>
                <w:rFonts w:ascii="Calibri" w:cs="Calibri" w:eastAsia="Calibri" w:hAnsi="Calibri"/>
                <w:sz w:val="17"/>
                <w:szCs w:val="17"/>
                <w:color w:val="auto"/>
              </w:rPr>
              <w:t>Cost of</w:t>
            </w: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jc w:val="center"/>
              <w:ind w:left="52"/>
              <w:spacing w:after="0" w:line="160" w:lineRule="exact"/>
              <w:rPr>
                <w:sz w:val="20"/>
                <w:szCs w:val="20"/>
                <w:color w:val="auto"/>
              </w:rPr>
            </w:pPr>
            <w:r>
              <w:rPr>
                <w:rFonts w:ascii="Calibri" w:cs="Calibri" w:eastAsia="Calibri" w:hAnsi="Calibri"/>
                <w:sz w:val="17"/>
                <w:szCs w:val="17"/>
                <w:color w:val="auto"/>
              </w:rPr>
              <w:t>Other</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020" w:type="dxa"/>
            <w:vAlign w:val="bottom"/>
            <w:gridSpan w:val="2"/>
          </w:tcPr>
          <w:p>
            <w:pPr>
              <w:jc w:val="center"/>
              <w:ind w:right="1030"/>
              <w:spacing w:after="0" w:line="175" w:lineRule="exact"/>
              <w:rPr>
                <w:sz w:val="20"/>
                <w:szCs w:val="20"/>
                <w:color w:val="auto"/>
              </w:rPr>
            </w:pPr>
            <w:r>
              <w:rPr>
                <w:rFonts w:ascii="Calibri" w:cs="Calibri" w:eastAsia="Calibri" w:hAnsi="Calibri"/>
                <w:sz w:val="18"/>
                <w:szCs w:val="18"/>
                <w:color w:val="auto"/>
                <w:w w:val="95"/>
              </w:rPr>
              <w:t>products</w:t>
            </w:r>
          </w:p>
        </w:tc>
        <w:tc>
          <w:tcPr>
            <w:tcW w:w="920" w:type="dxa"/>
            <w:vAlign w:val="bottom"/>
          </w:tcPr>
          <w:p>
            <w:pPr>
              <w:spacing w:after="0"/>
              <w:rPr>
                <w:sz w:val="15"/>
                <w:szCs w:val="15"/>
                <w:color w:val="auto"/>
              </w:rPr>
            </w:pPr>
          </w:p>
        </w:tc>
        <w:tc>
          <w:tcPr>
            <w:tcW w:w="1040" w:type="dxa"/>
            <w:vAlign w:val="bottom"/>
          </w:tcPr>
          <w:p>
            <w:pPr>
              <w:jc w:val="center"/>
              <w:ind w:left="52"/>
              <w:spacing w:after="0" w:line="175" w:lineRule="exact"/>
              <w:rPr>
                <w:sz w:val="20"/>
                <w:szCs w:val="20"/>
                <w:color w:val="auto"/>
              </w:rPr>
            </w:pPr>
            <w:r>
              <w:rPr>
                <w:rFonts w:ascii="Calibri" w:cs="Calibri" w:eastAsia="Calibri" w:hAnsi="Calibri"/>
                <w:sz w:val="18"/>
                <w:szCs w:val="18"/>
                <w:color w:val="auto"/>
                <w:w w:val="95"/>
              </w:rPr>
              <w:t>expense,</w:t>
            </w:r>
          </w:p>
        </w:tc>
        <w:tc>
          <w:tcPr>
            <w:tcW w:w="0" w:type="dxa"/>
            <w:vAlign w:val="bottom"/>
          </w:tcPr>
          <w:p>
            <w:pPr>
              <w:spacing w:after="0"/>
              <w:rPr>
                <w:sz w:val="1"/>
                <w:szCs w:val="1"/>
                <w:color w:val="auto"/>
              </w:rPr>
            </w:pPr>
          </w:p>
        </w:tc>
      </w:tr>
      <w:tr>
        <w:trPr>
          <w:trHeight w:val="228"/>
        </w:trPr>
        <w:tc>
          <w:tcPr>
            <w:tcW w:w="6860" w:type="dxa"/>
            <w:vAlign w:val="bottom"/>
          </w:tcPr>
          <w:p>
            <w:pPr>
              <w:spacing w:after="0"/>
              <w:rPr>
                <w:sz w:val="19"/>
                <w:szCs w:val="19"/>
                <w:color w:val="auto"/>
              </w:rPr>
            </w:pPr>
          </w:p>
        </w:tc>
        <w:tc>
          <w:tcPr>
            <w:tcW w:w="720" w:type="dxa"/>
            <w:vAlign w:val="bottom"/>
          </w:tcPr>
          <w:p>
            <w:pPr>
              <w:jc w:val="center"/>
              <w:ind w:left="92"/>
              <w:spacing w:after="0" w:line="215" w:lineRule="exact"/>
              <w:rPr>
                <w:sz w:val="20"/>
                <w:szCs w:val="20"/>
                <w:color w:val="auto"/>
              </w:rPr>
            </w:pPr>
            <w:r>
              <w:rPr>
                <w:rFonts w:ascii="Calibri" w:cs="Calibri" w:eastAsia="Calibri" w:hAnsi="Calibri"/>
                <w:sz w:val="18"/>
                <w:szCs w:val="18"/>
                <w:color w:val="auto"/>
                <w:w w:val="99"/>
              </w:rPr>
              <w:t>sold</w:t>
            </w:r>
          </w:p>
        </w:tc>
        <w:tc>
          <w:tcPr>
            <w:tcW w:w="1300" w:type="dxa"/>
            <w:vAlign w:val="bottom"/>
          </w:tcPr>
          <w:p>
            <w:pPr>
              <w:ind w:left="560"/>
              <w:spacing w:after="0"/>
              <w:rPr>
                <w:sz w:val="20"/>
                <w:szCs w:val="20"/>
                <w:color w:val="auto"/>
              </w:rPr>
            </w:pPr>
            <w:r>
              <w:rPr>
                <w:rFonts w:ascii="Calibri" w:cs="Calibri" w:eastAsia="Calibri" w:hAnsi="Calibri"/>
                <w:sz w:val="18"/>
                <w:szCs w:val="18"/>
                <w:color w:val="auto"/>
              </w:rPr>
              <w:t>SG&amp;A</w:t>
            </w:r>
          </w:p>
        </w:tc>
        <w:tc>
          <w:tcPr>
            <w:tcW w:w="920" w:type="dxa"/>
            <w:vAlign w:val="bottom"/>
          </w:tcPr>
          <w:p>
            <w:pPr>
              <w:ind w:left="320"/>
              <w:spacing w:after="0"/>
              <w:rPr>
                <w:sz w:val="20"/>
                <w:szCs w:val="20"/>
                <w:color w:val="auto"/>
              </w:rPr>
            </w:pPr>
            <w:r>
              <w:rPr>
                <w:rFonts w:ascii="Calibri" w:cs="Calibri" w:eastAsia="Calibri" w:hAnsi="Calibri"/>
                <w:sz w:val="18"/>
                <w:szCs w:val="18"/>
                <w:color w:val="auto"/>
              </w:rPr>
              <w:t>R&amp;D</w:t>
            </w:r>
          </w:p>
        </w:tc>
        <w:tc>
          <w:tcPr>
            <w:tcW w:w="1040" w:type="dxa"/>
            <w:vAlign w:val="bottom"/>
          </w:tcPr>
          <w:p>
            <w:pPr>
              <w:jc w:val="center"/>
              <w:ind w:left="52"/>
              <w:spacing w:after="0" w:line="215" w:lineRule="exact"/>
              <w:rPr>
                <w:sz w:val="20"/>
                <w:szCs w:val="20"/>
                <w:color w:val="auto"/>
              </w:rPr>
            </w:pPr>
            <w:r>
              <w:rPr>
                <w:rFonts w:ascii="Calibri" w:cs="Calibri" w:eastAsia="Calibri" w:hAnsi="Calibri"/>
                <w:sz w:val="18"/>
                <w:szCs w:val="18"/>
                <w:color w:val="auto"/>
                <w:w w:val="89"/>
              </w:rPr>
              <w:t>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537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6500" w:type="dxa"/>
            <w:vAlign w:val="bottom"/>
          </w:tcPr>
          <w:p>
            <w:pPr>
              <w:spacing w:after="0"/>
              <w:rPr>
                <w:sz w:val="20"/>
                <w:szCs w:val="20"/>
                <w:color w:val="auto"/>
              </w:rPr>
            </w:pPr>
            <w:r>
              <w:rPr>
                <w:rFonts w:ascii="Calibri" w:cs="Calibri" w:eastAsia="Calibri" w:hAnsi="Calibri"/>
                <w:sz w:val="18"/>
                <w:szCs w:val="18"/>
                <w:b w:val="1"/>
                <w:bCs w:val="1"/>
                <w:color w:val="auto"/>
              </w:rPr>
              <w:t>As reported (GAAP)</w:t>
            </w:r>
          </w:p>
        </w:tc>
        <w:tc>
          <w:tcPr>
            <w:tcW w:w="240" w:type="dxa"/>
            <w:vAlign w:val="bottom"/>
          </w:tcPr>
          <w:p>
            <w:pPr>
              <w:jc w:val="right"/>
              <w:ind w:right="50"/>
              <w:spacing w:after="0"/>
              <w:rPr>
                <w:sz w:val="20"/>
                <w:szCs w:val="20"/>
                <w:color w:val="auto"/>
              </w:rPr>
            </w:pPr>
            <w:r>
              <w:rPr>
                <w:rFonts w:ascii="Calibri" w:cs="Calibri" w:eastAsia="Calibri" w:hAnsi="Calibri"/>
                <w:sz w:val="18"/>
                <w:szCs w:val="18"/>
                <w:b w:val="1"/>
                <w:bCs w:val="1"/>
                <w:color w:val="auto"/>
                <w:w w:val="87"/>
              </w:rPr>
              <w:t>$</w:t>
            </w:r>
          </w:p>
        </w:tc>
        <w:tc>
          <w:tcPr>
            <w:tcW w:w="72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4,320</w:t>
            </w:r>
          </w:p>
        </w:tc>
        <w:tc>
          <w:tcPr>
            <w:tcW w:w="34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w:t>
            </w:r>
          </w:p>
        </w:tc>
        <w:tc>
          <w:tcPr>
            <w:tcW w:w="68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3,260</w:t>
            </w:r>
          </w:p>
        </w:tc>
        <w:tc>
          <w:tcPr>
            <w:tcW w:w="34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1,827</w:t>
            </w:r>
          </w:p>
        </w:tc>
        <w:tc>
          <w:tcPr>
            <w:tcW w:w="3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b w:val="1"/>
                <w:bCs w:val="1"/>
                <w:color w:val="auto"/>
              </w:rPr>
              <w:t>216</w:t>
            </w:r>
          </w:p>
        </w:tc>
      </w:tr>
      <w:tr>
        <w:trPr>
          <w:trHeight w:val="230"/>
        </w:trPr>
        <w:tc>
          <w:tcPr>
            <w:tcW w:w="6500" w:type="dxa"/>
            <w:vAlign w:val="bottom"/>
          </w:tcPr>
          <w:p>
            <w:pPr>
              <w:spacing w:after="0"/>
              <w:rPr>
                <w:sz w:val="20"/>
                <w:szCs w:val="20"/>
                <w:color w:val="auto"/>
              </w:rPr>
            </w:pPr>
            <w:r>
              <w:rPr>
                <w:rFonts w:ascii="Calibri" w:cs="Calibri" w:eastAsia="Calibri" w:hAnsi="Calibri"/>
                <w:sz w:val="18"/>
                <w:szCs w:val="18"/>
                <w:color w:val="auto"/>
              </w:rPr>
              <w:t>Adjusted for specifed items: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500" w:type="dxa"/>
            <w:vAlign w:val="bottom"/>
          </w:tcPr>
          <w:p>
            <w:pPr>
              <w:ind w:left="120"/>
              <w:spacing w:after="0"/>
              <w:rPr>
                <w:sz w:val="20"/>
                <w:szCs w:val="20"/>
                <w:color w:val="auto"/>
              </w:rPr>
            </w:pPr>
            <w:r>
              <w:rPr>
                <w:rFonts w:ascii="Calibri" w:cs="Calibri" w:eastAsia="Calibri" w:hAnsi="Calibri"/>
                <w:sz w:val="18"/>
                <w:szCs w:val="18"/>
                <w:color w:val="auto"/>
              </w:rPr>
              <w:t>Intangible asset amortzaton</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(1,806)</w:t>
            </w:r>
          </w:p>
        </w:tc>
        <w:tc>
          <w:tcPr>
            <w:tcW w:w="3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6500" w:type="dxa"/>
            <w:vAlign w:val="bottom"/>
          </w:tcPr>
          <w:p>
            <w:pPr>
              <w:ind w:left="120"/>
              <w:spacing w:after="0"/>
              <w:rPr>
                <w:sz w:val="20"/>
                <w:szCs w:val="20"/>
                <w:color w:val="auto"/>
              </w:rPr>
            </w:pPr>
            <w:r>
              <w:rPr>
                <w:rFonts w:ascii="Calibri" w:cs="Calibri" w:eastAsia="Calibri" w:hAnsi="Calibri"/>
                <w:sz w:val="18"/>
                <w:szCs w:val="18"/>
                <w:color w:val="auto"/>
              </w:rPr>
              <w:t>Acquisiton and integraton costs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(43)</w:t>
            </w:r>
          </w:p>
        </w:tc>
        <w:tc>
          <w:tcPr>
            <w:tcW w:w="3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Calibri" w:cs="Calibri" w:eastAsia="Calibri" w:hAnsi="Calibri"/>
                <w:sz w:val="18"/>
                <w:szCs w:val="18"/>
                <w:color w:val="auto"/>
              </w:rPr>
              <w:t>250</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(16)</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6500" w:type="dxa"/>
            <w:vAlign w:val="bottom"/>
          </w:tcPr>
          <w:p>
            <w:pPr>
              <w:ind w:left="120"/>
              <w:spacing w:after="0"/>
              <w:rPr>
                <w:sz w:val="20"/>
                <w:szCs w:val="20"/>
                <w:color w:val="auto"/>
              </w:rPr>
            </w:pPr>
            <w:r>
              <w:rPr>
                <w:rFonts w:ascii="Calibri" w:cs="Calibri" w:eastAsia="Calibri" w:hAnsi="Calibri"/>
                <w:sz w:val="18"/>
                <w:szCs w:val="18"/>
                <w:color w:val="auto"/>
              </w:rPr>
              <w:t>Change in fair value of contngent consideraton</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8"/>
                <w:szCs w:val="18"/>
                <w:color w:val="auto"/>
              </w:rPr>
              <w:t>(232)</w:t>
            </w:r>
          </w:p>
        </w:tc>
      </w:tr>
      <w:tr>
        <w:trPr>
          <w:trHeight w:val="230"/>
        </w:trPr>
        <w:tc>
          <w:tcPr>
            <w:tcW w:w="6500" w:type="dxa"/>
            <w:vAlign w:val="bottom"/>
          </w:tcPr>
          <w:p>
            <w:pPr>
              <w:ind w:left="120"/>
              <w:spacing w:after="0"/>
              <w:rPr>
                <w:sz w:val="20"/>
                <w:szCs w:val="20"/>
                <w:color w:val="auto"/>
              </w:rPr>
            </w:pPr>
            <w:r>
              <w:rPr>
                <w:rFonts w:ascii="Calibri" w:cs="Calibri" w:eastAsia="Calibri" w:hAnsi="Calibri"/>
                <w:sz w:val="18"/>
                <w:szCs w:val="18"/>
                <w:color w:val="auto"/>
              </w:rPr>
              <w:t>Litgaton maters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(200)</w:t>
            </w:r>
          </w:p>
        </w:tc>
        <w:tc>
          <w:tcPr>
            <w:tcW w:w="3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6500" w:type="dxa"/>
            <w:vAlign w:val="bottom"/>
          </w:tcPr>
          <w:p>
            <w:pPr>
              <w:ind w:left="120"/>
              <w:spacing w:after="0"/>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(23)</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3"/>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6500" w:type="dxa"/>
            <w:vAlign w:val="bottom"/>
          </w:tcPr>
          <w:p>
            <w:pPr>
              <w:spacing w:after="0"/>
              <w:rPr>
                <w:sz w:val="20"/>
                <w:szCs w:val="20"/>
                <w:color w:val="auto"/>
              </w:rPr>
            </w:pPr>
            <w:r>
              <w:rPr>
                <w:rFonts w:ascii="Calibri" w:cs="Calibri" w:eastAsia="Calibri" w:hAnsi="Calibri"/>
                <w:sz w:val="18"/>
                <w:szCs w:val="18"/>
                <w:b w:val="1"/>
                <w:bCs w:val="1"/>
                <w:color w:val="auto"/>
              </w:rPr>
              <w:t>As adjusted (non-GAAP)</w:t>
            </w:r>
          </w:p>
        </w:tc>
        <w:tc>
          <w:tcPr>
            <w:tcW w:w="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2,448</w:t>
            </w:r>
          </w:p>
        </w:tc>
        <w:tc>
          <w:tcPr>
            <w:tcW w:w="34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3,307</w:t>
            </w:r>
          </w:p>
        </w:tc>
        <w:tc>
          <w:tcPr>
            <w:tcW w:w="34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1,798</w:t>
            </w:r>
          </w:p>
        </w:tc>
        <w:tc>
          <w:tcPr>
            <w:tcW w:w="3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(18)</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color w:val="auto"/>
        </w:rPr>
        <w:t>3.</w:t>
      </w:r>
      <w:r>
        <w:rPr>
          <w:sz w:val="20"/>
          <w:szCs w:val="20"/>
          <w:color w:val="auto"/>
        </w:rPr>
        <w:tab/>
      </w:r>
      <w:r>
        <w:rPr>
          <w:rFonts w:ascii="Calibri" w:cs="Calibri" w:eastAsia="Calibri" w:hAnsi="Calibri"/>
          <w:sz w:val="17"/>
          <w:szCs w:val="17"/>
          <w:color w:val="auto"/>
        </w:rPr>
        <w:t>The adjusted tax rate for the fourth quarter of 2021 was 13.3 percent, as detailed below:</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60" w:type="dxa"/>
            <w:vAlign w:val="bottom"/>
            <w:gridSpan w:val="4"/>
          </w:tcPr>
          <w:p>
            <w:pPr>
              <w:jc w:val="right"/>
              <w:ind w:right="830"/>
              <w:spacing w:after="0"/>
              <w:rPr>
                <w:sz w:val="20"/>
                <w:szCs w:val="20"/>
                <w:color w:val="auto"/>
              </w:rPr>
            </w:pPr>
            <w:r>
              <w:rPr>
                <w:rFonts w:ascii="Calibri" w:cs="Calibri" w:eastAsia="Calibri" w:hAnsi="Calibri"/>
                <w:sz w:val="18"/>
                <w:szCs w:val="18"/>
                <w:b w:val="1"/>
                <w:bCs w:val="1"/>
                <w:color w:val="auto"/>
              </w:rPr>
              <w:t>Quarter Ended December 31, 2021</w:t>
            </w:r>
          </w:p>
        </w:tc>
        <w:tc>
          <w:tcPr>
            <w:tcW w:w="0" w:type="dxa"/>
            <w:vAlign w:val="bottom"/>
          </w:tcPr>
          <w:p>
            <w:pPr>
              <w:spacing w:after="0"/>
              <w:rPr>
                <w:sz w:val="1"/>
                <w:szCs w:val="1"/>
                <w:color w:val="auto"/>
              </w:rPr>
            </w:pPr>
          </w:p>
        </w:tc>
      </w:tr>
      <w:tr>
        <w:trPr>
          <w:trHeight w:val="23"/>
        </w:trPr>
        <w:tc>
          <w:tcPr>
            <w:tcW w:w="6120" w:type="dxa"/>
            <w:vAlign w:val="bottom"/>
            <w:vMerge w:val="restart"/>
          </w:tcPr>
          <w:p>
            <w:pPr>
              <w:spacing w:after="0"/>
              <w:rPr>
                <w:sz w:val="20"/>
                <w:szCs w:val="20"/>
                <w:color w:val="auto"/>
              </w:rPr>
            </w:pPr>
            <w:r>
              <w:rPr>
                <w:rFonts w:ascii="Calibri" w:cs="Calibri" w:eastAsia="Calibri" w:hAnsi="Calibri"/>
                <w:sz w:val="18"/>
                <w:szCs w:val="18"/>
                <w:b w:val="1"/>
                <w:bCs w:val="1"/>
                <w:color w:val="auto"/>
              </w:rPr>
              <w:t>(dollars in millions)</w:t>
            </w: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1380" w:type="dxa"/>
            <w:vAlign w:val="bottom"/>
            <w:tcBorders>
              <w:bottom w:val="single" w:sz="8" w:color="auto"/>
            </w:tcBorders>
            <w:gridSpan w:val="2"/>
          </w:tcPr>
          <w:p>
            <w:pPr>
              <w:jc w:val="right"/>
              <w:ind w:right="50"/>
              <w:spacing w:after="0" w:line="208" w:lineRule="exact"/>
              <w:rPr>
                <w:sz w:val="20"/>
                <w:szCs w:val="20"/>
                <w:color w:val="auto"/>
              </w:rPr>
            </w:pPr>
            <w:r>
              <w:rPr>
                <w:rFonts w:ascii="Calibri" w:cs="Calibri" w:eastAsia="Calibri" w:hAnsi="Calibri"/>
                <w:sz w:val="18"/>
                <w:szCs w:val="18"/>
                <w:color w:val="auto"/>
              </w:rPr>
              <w:t>Pre-tax earnings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color w:val="auto"/>
                <w:w w:val="98"/>
              </w:rPr>
              <w:t>Income taxes</w:t>
            </w:r>
          </w:p>
        </w:tc>
        <w:tc>
          <w:tcPr>
            <w:tcW w:w="130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color w:val="auto"/>
              </w:rPr>
              <w:t>Tax rate</w:t>
            </w:r>
          </w:p>
        </w:tc>
        <w:tc>
          <w:tcPr>
            <w:tcW w:w="0" w:type="dxa"/>
            <w:vAlign w:val="bottom"/>
          </w:tcPr>
          <w:p>
            <w:pPr>
              <w:spacing w:after="0"/>
              <w:rPr>
                <w:sz w:val="1"/>
                <w:szCs w:val="1"/>
                <w:color w:val="auto"/>
              </w:rPr>
            </w:pPr>
          </w:p>
        </w:tc>
      </w:tr>
      <w:tr>
        <w:trPr>
          <w:trHeight w:val="215"/>
        </w:trPr>
        <w:tc>
          <w:tcPr>
            <w:tcW w:w="6120" w:type="dxa"/>
            <w:vAlign w:val="bottom"/>
          </w:tcPr>
          <w:p>
            <w:pPr>
              <w:spacing w:after="0" w:line="206" w:lineRule="exact"/>
              <w:rPr>
                <w:sz w:val="20"/>
                <w:szCs w:val="20"/>
                <w:color w:val="auto"/>
              </w:rPr>
            </w:pPr>
            <w:r>
              <w:rPr>
                <w:rFonts w:ascii="Calibri" w:cs="Calibri" w:eastAsia="Calibri" w:hAnsi="Calibri"/>
                <w:sz w:val="18"/>
                <w:szCs w:val="18"/>
                <w:b w:val="1"/>
                <w:bCs w:val="1"/>
                <w:color w:val="auto"/>
              </w:rPr>
              <w:t>As reported (GAAP)</w:t>
            </w:r>
          </w:p>
        </w:tc>
        <w:tc>
          <w:tcPr>
            <w:tcW w:w="500" w:type="dxa"/>
            <w:vAlign w:val="bottom"/>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4,271</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4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226</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5.3 %</w:t>
            </w: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Calibri" w:cs="Calibri" w:eastAsia="Calibri" w:hAnsi="Calibri"/>
                <w:sz w:val="18"/>
                <w:szCs w:val="18"/>
                <w:color w:val="auto"/>
              </w:rPr>
              <w:t>Specifed items</w:t>
            </w:r>
          </w:p>
        </w:tc>
        <w:tc>
          <w:tcPr>
            <w:tcW w:w="5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Calibri" w:cs="Calibri" w:eastAsia="Calibri" w:hAnsi="Calibri"/>
                <w:sz w:val="18"/>
                <w:szCs w:val="18"/>
                <w:color w:val="auto"/>
              </w:rPr>
              <w:t>2,088</w:t>
            </w:r>
          </w:p>
        </w:tc>
        <w:tc>
          <w:tcPr>
            <w:tcW w:w="24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Calibri" w:cs="Calibri" w:eastAsia="Calibri" w:hAnsi="Calibri"/>
                <w:sz w:val="18"/>
                <w:szCs w:val="18"/>
                <w:color w:val="auto"/>
              </w:rPr>
              <w:t>618</w:t>
            </w:r>
          </w:p>
        </w:tc>
        <w:tc>
          <w:tcPr>
            <w:tcW w:w="1300" w:type="dxa"/>
            <w:vAlign w:val="bottom"/>
          </w:tcPr>
          <w:p>
            <w:pPr>
              <w:jc w:val="right"/>
              <w:spacing w:after="0"/>
              <w:rPr>
                <w:sz w:val="20"/>
                <w:szCs w:val="20"/>
                <w:color w:val="auto"/>
              </w:rPr>
            </w:pPr>
            <w:r>
              <w:rPr>
                <w:rFonts w:ascii="Calibri" w:cs="Calibri" w:eastAsia="Calibri" w:hAnsi="Calibri"/>
                <w:sz w:val="18"/>
                <w:szCs w:val="18"/>
                <w:color w:val="auto"/>
              </w:rPr>
              <w:t>29.6 %</w:t>
            </w: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Calibri" w:cs="Calibri" w:eastAsia="Calibri" w:hAnsi="Calibri"/>
                <w:sz w:val="18"/>
                <w:szCs w:val="18"/>
                <w:b w:val="1"/>
                <w:bCs w:val="1"/>
                <w:color w:val="auto"/>
              </w:rPr>
              <w:t>As adjusted (non-GAAP)</w:t>
            </w:r>
          </w:p>
        </w:tc>
        <w:tc>
          <w:tcPr>
            <w:tcW w:w="50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6,359</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40" w:type="dxa"/>
            <w:vAlign w:val="bottom"/>
            <w:tcBorders>
              <w:bottom w:val="single" w:sz="8" w:color="auto"/>
            </w:tcBorders>
          </w:tcPr>
          <w:p>
            <w:pPr>
              <w:jc w:val="right"/>
              <w:ind w:right="230"/>
              <w:spacing w:after="0" w:line="215" w:lineRule="exact"/>
              <w:rPr>
                <w:sz w:val="20"/>
                <w:szCs w:val="20"/>
                <w:color w:val="auto"/>
              </w:rPr>
            </w:pPr>
            <w:r>
              <w:rPr>
                <w:rFonts w:ascii="Calibri" w:cs="Calibri" w:eastAsia="Calibri" w:hAnsi="Calibri"/>
                <w:sz w:val="18"/>
                <w:szCs w:val="18"/>
                <w:b w:val="1"/>
                <w:bCs w:val="1"/>
                <w:color w:val="auto"/>
              </w:rPr>
              <w:t>844</w:t>
            </w: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13.3 %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870" w:right="339" w:bottom="1440" w:gutter="0" w:footer="0" w:header="0"/>
          <w:type w:val="continuous"/>
        </w:sectPr>
      </w:pPr>
    </w:p>
    <w:bookmarkStart w:id="14" w:name="page15"/>
    <w:bookmarkEnd w:id="14"/>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Reconciliaton of GAAP Reported to Non-GAAP Adjusted Informaton</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20"/>
                <w:szCs w:val="20"/>
                <w:color w:val="auto"/>
              </w:rPr>
            </w:pPr>
            <w:r>
              <w:rPr>
                <w:rFonts w:ascii="Calibri" w:cs="Calibri" w:eastAsia="Calibri" w:hAnsi="Calibri"/>
                <w:sz w:val="18"/>
                <w:szCs w:val="18"/>
                <w:color w:val="auto"/>
              </w:rPr>
              <w:t>1.  Specifed items impacted results as follows: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140" w:type="dxa"/>
            <w:vAlign w:val="bottom"/>
            <w:gridSpan w:val="5"/>
          </w:tcPr>
          <w:p>
            <w:pPr>
              <w:jc w:val="right"/>
              <w:ind w:right="570"/>
              <w:spacing w:after="0"/>
              <w:rPr>
                <w:sz w:val="20"/>
                <w:szCs w:val="20"/>
                <w:color w:val="auto"/>
              </w:rPr>
            </w:pPr>
            <w:r>
              <w:rPr>
                <w:rFonts w:ascii="Calibri" w:cs="Calibri" w:eastAsia="Calibri" w:hAnsi="Calibri"/>
                <w:sz w:val="18"/>
                <w:szCs w:val="18"/>
                <w:b w:val="1"/>
                <w:bCs w:val="1"/>
                <w:color w:val="auto"/>
              </w:rPr>
              <w:t>Twelve Months Ended December 31, 2022</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(in millions, except per share data)</w:t>
            </w: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Earnings</w:t>
            </w:r>
          </w:p>
        </w:tc>
        <w:tc>
          <w:tcPr>
            <w:tcW w:w="11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350"/>
              <w:spacing w:after="0" w:line="208" w:lineRule="exact"/>
              <w:rPr>
                <w:sz w:val="20"/>
                <w:szCs w:val="20"/>
                <w:color w:val="auto"/>
              </w:rPr>
            </w:pPr>
            <w:r>
              <w:rPr>
                <w:rFonts w:ascii="Calibri" w:cs="Calibri" w:eastAsia="Calibri" w:hAnsi="Calibri"/>
                <w:sz w:val="18"/>
                <w:szCs w:val="18"/>
                <w:color w:val="auto"/>
              </w:rPr>
              <w:t>Diluted</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color w:val="auto"/>
              </w:rPr>
              <w:t>Pre-tax</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line="230" w:lineRule="exact"/>
              <w:rPr>
                <w:sz w:val="20"/>
                <w:szCs w:val="20"/>
                <w:color w:val="auto"/>
              </w:rPr>
            </w:pPr>
            <w:r>
              <w:rPr>
                <w:rFonts w:ascii="Calibri" w:cs="Calibri" w:eastAsia="Calibri" w:hAnsi="Calibri"/>
                <w:sz w:val="18"/>
                <w:szCs w:val="18"/>
                <w:color w:val="auto"/>
              </w:rPr>
              <w:t>Afer-tax</w:t>
            </w:r>
            <w:r>
              <w:rPr>
                <w:rFonts w:ascii="Calibri" w:cs="Calibri" w:eastAsia="Calibri" w:hAnsi="Calibri"/>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line="206" w:lineRule="exact"/>
              <w:rPr>
                <w:sz w:val="20"/>
                <w:szCs w:val="20"/>
                <w:color w:val="auto"/>
              </w:rPr>
            </w:pPr>
            <w:r>
              <w:rPr>
                <w:rFonts w:ascii="Calibri" w:cs="Calibri" w:eastAsia="Calibri" w:hAnsi="Calibri"/>
                <w:sz w:val="18"/>
                <w:szCs w:val="18"/>
                <w:color w:val="auto"/>
              </w:rPr>
              <w:t>EPS</w:t>
            </w:r>
          </w:p>
        </w:tc>
        <w:tc>
          <w:tcPr>
            <w:tcW w:w="0" w:type="dxa"/>
            <w:vAlign w:val="bottom"/>
          </w:tcPr>
          <w:p>
            <w:pPr>
              <w:spacing w:after="0"/>
              <w:rPr>
                <w:sz w:val="1"/>
                <w:szCs w:val="1"/>
                <w:color w:val="auto"/>
              </w:rPr>
            </w:pPr>
          </w:p>
        </w:tc>
      </w:tr>
      <w:tr>
        <w:trPr>
          <w:trHeight w:val="208"/>
        </w:trPr>
        <w:tc>
          <w:tcPr>
            <w:tcW w:w="6440" w:type="dxa"/>
            <w:vAlign w:val="bottom"/>
          </w:tcPr>
          <w:p>
            <w:pPr>
              <w:ind w:left="360"/>
              <w:spacing w:after="0" w:line="199" w:lineRule="exact"/>
              <w:rPr>
                <w:sz w:val="20"/>
                <w:szCs w:val="20"/>
                <w:color w:val="auto"/>
              </w:rPr>
            </w:pPr>
            <w:r>
              <w:rPr>
                <w:rFonts w:ascii="Calibri" w:cs="Calibri" w:eastAsia="Calibri" w:hAnsi="Calibri"/>
                <w:sz w:val="18"/>
                <w:szCs w:val="18"/>
                <w:b w:val="1"/>
                <w:bCs w:val="1"/>
                <w:color w:val="auto"/>
              </w:rPr>
              <w:t>As reported (GAAP)</w:t>
            </w:r>
          </w:p>
        </w:tc>
        <w:tc>
          <w:tcPr>
            <w:tcW w:w="26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13,477</w:t>
            </w:r>
          </w:p>
        </w:tc>
        <w:tc>
          <w:tcPr>
            <w:tcW w:w="36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11,836</w:t>
            </w:r>
          </w:p>
        </w:tc>
        <w:tc>
          <w:tcPr>
            <w:tcW w:w="38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6.63</w:t>
            </w:r>
          </w:p>
        </w:tc>
        <w:tc>
          <w:tcPr>
            <w:tcW w:w="0" w:type="dxa"/>
            <w:vAlign w:val="bottom"/>
          </w:tcPr>
          <w:p>
            <w:pPr>
              <w:spacing w:after="0"/>
              <w:rPr>
                <w:sz w:val="1"/>
                <w:szCs w:val="1"/>
                <w:color w:val="auto"/>
              </w:rPr>
            </w:pPr>
          </w:p>
        </w:tc>
      </w:tr>
      <w:tr>
        <w:trPr>
          <w:trHeight w:val="221"/>
        </w:trPr>
        <w:tc>
          <w:tcPr>
            <w:tcW w:w="6440" w:type="dxa"/>
            <w:vAlign w:val="bottom"/>
          </w:tcPr>
          <w:p>
            <w:pPr>
              <w:ind w:left="360"/>
              <w:spacing w:after="0"/>
              <w:rPr>
                <w:sz w:val="20"/>
                <w:szCs w:val="20"/>
                <w:color w:val="auto"/>
              </w:rPr>
            </w:pPr>
            <w:r>
              <w:rPr>
                <w:rFonts w:ascii="Calibri" w:cs="Calibri" w:eastAsia="Calibri" w:hAnsi="Calibri"/>
                <w:sz w:val="18"/>
                <w:szCs w:val="18"/>
                <w:color w:val="auto"/>
              </w:rPr>
              <w:t>Adjusted for specifed items: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Calibri" w:cs="Calibri" w:eastAsia="Calibri" w:hAnsi="Calibri"/>
                <w:sz w:val="18"/>
                <w:szCs w:val="18"/>
                <w:color w:val="auto"/>
              </w:rPr>
              <w:t>Intangible asset amortzaton</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7,689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6,430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3.61</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Intangible asset impairment</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770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604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0.34</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Acquisiton and integraton costs</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810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766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0.43</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Calibri" w:cs="Calibri" w:eastAsia="Calibri" w:hAnsi="Calibri"/>
                <w:sz w:val="18"/>
                <w:szCs w:val="18"/>
                <w:color w:val="auto"/>
              </w:rPr>
              <w:t>Change in fair value of contngent consideraton</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2,761</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2,770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1.55</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Pylera divestture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(172)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(126)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(0.07)</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Litgaton maters</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2,506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2,028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Calibri" w:cs="Calibri" w:eastAsia="Calibri" w:hAnsi="Calibri"/>
                <w:sz w:val="18"/>
                <w:szCs w:val="18"/>
                <w:color w:val="auto"/>
              </w:rPr>
              <w:t>Income tax items</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(0.02)</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Calibri" w:cs="Calibri" w:eastAsia="Calibri" w:hAnsi="Calibri"/>
                <w:sz w:val="18"/>
                <w:szCs w:val="18"/>
                <w:color w:val="auto"/>
              </w:rPr>
              <w:t>Other</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429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315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0.17</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Calibri" w:cs="Calibri" w:eastAsia="Calibri" w:hAnsi="Calibri"/>
                <w:sz w:val="18"/>
                <w:szCs w:val="18"/>
                <w:b w:val="1"/>
                <w:bCs w:val="1"/>
                <w:color w:val="auto"/>
              </w:rPr>
              <w:t>As adjusted (non-GAAP)</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28,270</w:t>
            </w:r>
          </w:p>
        </w:tc>
        <w:tc>
          <w:tcPr>
            <w:tcW w:w="3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24,597</w:t>
            </w:r>
          </w:p>
        </w:tc>
        <w:tc>
          <w:tcPr>
            <w:tcW w:w="3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13.77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00" w:hanging="60"/>
        <w:spacing w:after="0"/>
        <w:tabs>
          <w:tab w:leader="none" w:pos="100" w:val="left"/>
        </w:tabs>
        <w:numPr>
          <w:ilvl w:val="0"/>
          <w:numId w:val="14"/>
        </w:numPr>
        <w:rPr>
          <w:rFonts w:ascii="Calibri" w:cs="Calibri" w:eastAsia="Calibri" w:hAnsi="Calibri"/>
          <w:sz w:val="18"/>
          <w:szCs w:val="18"/>
          <w:color w:val="auto"/>
          <w:vertAlign w:val="superscript"/>
        </w:rPr>
      </w:pPr>
      <w:r>
        <w:rPr>
          <w:rFonts w:ascii="Calibri" w:cs="Calibri" w:eastAsia="Calibri" w:hAnsi="Calibri"/>
          <w:sz w:val="14"/>
          <w:szCs w:val="14"/>
          <w:color w:val="auto"/>
        </w:rPr>
        <w:t>Represents net earnings atributable to AbbVie Inc.</w:t>
      </w:r>
    </w:p>
    <w:p>
      <w:pPr>
        <w:spacing w:after="0" w:line="146"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Acquisiton and integraton costs primarily include costs related to the Allergan acquisiton. Litgaton maters primarily include a charge related to a potental setlement of litgaton involving Allergan's past sales of opioid products. Income tax items include a beneft of $323 million related to tax law changes partally ofset by certain other tax related items. Other primarily includes restructuring charges associated with streamlining global operatons.</w:t>
      </w:r>
    </w:p>
    <w:p>
      <w:pPr>
        <w:spacing w:after="0" w:line="124" w:lineRule="exact"/>
        <w:rPr>
          <w:sz w:val="20"/>
          <w:szCs w:val="20"/>
          <w:color w:val="auto"/>
        </w:rPr>
      </w:pPr>
    </w:p>
    <w:p>
      <w:pPr>
        <w:spacing w:after="0"/>
        <w:rPr>
          <w:sz w:val="20"/>
          <w:szCs w:val="20"/>
          <w:color w:val="auto"/>
        </w:rPr>
      </w:pPr>
      <w:r>
        <w:rPr>
          <w:rFonts w:ascii="Calibri" w:cs="Calibri" w:eastAsia="Calibri" w:hAnsi="Calibri"/>
          <w:sz w:val="17"/>
          <w:szCs w:val="17"/>
          <w:color w:val="auto"/>
        </w:rPr>
        <w:t>Beginning in the frst quarter of 2022, the company includes acquired IPR&amp;D and milestones expense in its reported non-GAAP fnancial measures. Reported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GAAP earnings and adjusted non-GAAP earnings for the twelve months ended December 31, 2022 included acquired IPR&amp;D and milestones expense of</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$697 million on a pre-tax and $682 million on an afer-tax basis, representng an unfavorable impact of $0.39 to both diluted EPS and adjusted diluted EPS.</w:t>
      </w:r>
    </w:p>
    <w:p>
      <w:pPr>
        <w:spacing w:after="0" w:line="166" w:lineRule="exact"/>
        <w:rPr>
          <w:sz w:val="20"/>
          <w:szCs w:val="20"/>
          <w:color w:val="auto"/>
        </w:rPr>
      </w:pPr>
    </w:p>
    <w:p>
      <w:pPr>
        <w:ind w:left="300" w:hanging="292"/>
        <w:spacing w:after="0"/>
        <w:tabs>
          <w:tab w:leader="none" w:pos="300" w:val="left"/>
        </w:tabs>
        <w:numPr>
          <w:ilvl w:val="0"/>
          <w:numId w:val="15"/>
        </w:numPr>
        <w:rPr>
          <w:rFonts w:ascii="Calibri" w:cs="Calibri" w:eastAsia="Calibri" w:hAnsi="Calibri"/>
          <w:sz w:val="18"/>
          <w:szCs w:val="18"/>
          <w:color w:val="4C4C4C"/>
        </w:rPr>
      </w:pPr>
      <w:r>
        <w:rPr>
          <w:rFonts w:ascii="Calibri" w:cs="Calibri" w:eastAsia="Calibri" w:hAnsi="Calibri"/>
          <w:sz w:val="18"/>
          <w:szCs w:val="18"/>
          <w:color w:val="auto"/>
        </w:rPr>
        <w:t>The impact of the specifed items by line item was as follows: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0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7"/>
              </w:rPr>
              <w:t>Twelve Months Ended December 31, 2022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(in millions)</w:t>
            </w: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Calibri" w:cs="Calibri" w:eastAsia="Calibri" w:hAnsi="Calibri"/>
                <w:sz w:val="17"/>
                <w:szCs w:val="17"/>
                <w:color w:val="auto"/>
              </w:rPr>
              <w:t>Cost of</w:t>
            </w: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jc w:val="center"/>
              <w:ind w:left="72"/>
              <w:spacing w:after="0" w:line="160" w:lineRule="exact"/>
              <w:rPr>
                <w:sz w:val="20"/>
                <w:szCs w:val="20"/>
                <w:color w:val="auto"/>
              </w:rPr>
            </w:pPr>
            <w:r>
              <w:rPr>
                <w:rFonts w:ascii="Calibri" w:cs="Calibri" w:eastAsia="Calibri" w:hAnsi="Calibri"/>
                <w:sz w:val="17"/>
                <w:szCs w:val="17"/>
                <w:color w:val="auto"/>
              </w:rPr>
              <w:t>Other</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Calibri" w:cs="Calibri" w:eastAsia="Calibri" w:hAnsi="Calibri"/>
                <w:sz w:val="18"/>
                <w:szCs w:val="18"/>
                <w:color w:val="auto"/>
                <w:w w:val="98"/>
              </w:rPr>
              <w:t>products</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jc w:val="center"/>
              <w:ind w:left="52"/>
              <w:spacing w:after="0" w:line="175" w:lineRule="exact"/>
              <w:rPr>
                <w:sz w:val="20"/>
                <w:szCs w:val="20"/>
                <w:color w:val="auto"/>
              </w:rPr>
            </w:pPr>
            <w:r>
              <w:rPr>
                <w:rFonts w:ascii="Calibri" w:cs="Calibri" w:eastAsia="Calibri" w:hAnsi="Calibri"/>
                <w:sz w:val="18"/>
                <w:szCs w:val="18"/>
                <w:color w:val="auto"/>
              </w:rPr>
              <w:t>operatng</w:t>
            </w:r>
          </w:p>
        </w:tc>
        <w:tc>
          <w:tcPr>
            <w:tcW w:w="1020" w:type="dxa"/>
            <w:vAlign w:val="bottom"/>
          </w:tcPr>
          <w:p>
            <w:pPr>
              <w:jc w:val="center"/>
              <w:spacing w:after="0" w:line="175" w:lineRule="exact"/>
              <w:rPr>
                <w:sz w:val="20"/>
                <w:szCs w:val="20"/>
                <w:color w:val="auto"/>
              </w:rPr>
            </w:pPr>
            <w:r>
              <w:rPr>
                <w:rFonts w:ascii="Calibri" w:cs="Calibri" w:eastAsia="Calibri" w:hAnsi="Calibri"/>
                <w:sz w:val="18"/>
                <w:szCs w:val="18"/>
                <w:color w:val="auto"/>
                <w:w w:val="98"/>
              </w:rPr>
              <w:t>Other</w:t>
            </w: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Calibri" w:cs="Calibri" w:eastAsia="Calibri" w:hAnsi="Calibri"/>
                <w:sz w:val="18"/>
                <w:szCs w:val="18"/>
                <w:color w:val="auto"/>
                <w:w w:val="99"/>
              </w:rPr>
              <w:t>sold</w:t>
            </w:r>
          </w:p>
        </w:tc>
        <w:tc>
          <w:tcPr>
            <w:tcW w:w="1180" w:type="dxa"/>
            <w:vAlign w:val="bottom"/>
          </w:tcPr>
          <w:p>
            <w:pPr>
              <w:ind w:left="400"/>
              <w:spacing w:after="0"/>
              <w:rPr>
                <w:sz w:val="20"/>
                <w:szCs w:val="20"/>
                <w:color w:val="auto"/>
              </w:rPr>
            </w:pPr>
            <w:r>
              <w:rPr>
                <w:rFonts w:ascii="Calibri" w:cs="Calibri" w:eastAsia="Calibri" w:hAnsi="Calibri"/>
                <w:sz w:val="18"/>
                <w:szCs w:val="18"/>
                <w:color w:val="auto"/>
              </w:rPr>
              <w:t>SG&amp;A</w:t>
            </w:r>
          </w:p>
        </w:tc>
        <w:tc>
          <w:tcPr>
            <w:tcW w:w="900" w:type="dxa"/>
            <w:vAlign w:val="bottom"/>
          </w:tcPr>
          <w:p>
            <w:pPr>
              <w:jc w:val="center"/>
              <w:ind w:left="30"/>
              <w:spacing w:after="0"/>
              <w:rPr>
                <w:sz w:val="20"/>
                <w:szCs w:val="20"/>
                <w:color w:val="auto"/>
              </w:rPr>
            </w:pPr>
            <w:r>
              <w:rPr>
                <w:rFonts w:ascii="Calibri" w:cs="Calibri" w:eastAsia="Calibri" w:hAnsi="Calibri"/>
                <w:sz w:val="18"/>
                <w:szCs w:val="18"/>
                <w:color w:val="auto"/>
              </w:rPr>
              <w:t>R&amp;D</w:t>
            </w:r>
          </w:p>
        </w:tc>
        <w:tc>
          <w:tcPr>
            <w:tcW w:w="1220" w:type="dxa"/>
            <w:vAlign w:val="bottom"/>
          </w:tcPr>
          <w:p>
            <w:pPr>
              <w:jc w:val="center"/>
              <w:ind w:left="52"/>
              <w:spacing w:after="0"/>
              <w:rPr>
                <w:sz w:val="20"/>
                <w:szCs w:val="20"/>
                <w:color w:val="auto"/>
              </w:rPr>
            </w:pPr>
            <w:r>
              <w:rPr>
                <w:rFonts w:ascii="Calibri" w:cs="Calibri" w:eastAsia="Calibri" w:hAnsi="Calibri"/>
                <w:sz w:val="18"/>
                <w:szCs w:val="18"/>
                <w:color w:val="auto"/>
                <w:w w:val="98"/>
              </w:rPr>
              <w:t>expense, net</w:t>
            </w:r>
          </w:p>
        </w:tc>
        <w:tc>
          <w:tcPr>
            <w:tcW w:w="10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expense,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5200" w:type="dxa"/>
            <w:vAlign w:val="bottom"/>
          </w:tcPr>
          <w:p>
            <w:pPr>
              <w:spacing w:after="0"/>
              <w:rPr>
                <w:sz w:val="20"/>
                <w:szCs w:val="20"/>
                <w:color w:val="auto"/>
              </w:rPr>
            </w:pPr>
            <w:r>
              <w:rPr>
                <w:rFonts w:ascii="Calibri" w:cs="Calibri" w:eastAsia="Calibri" w:hAnsi="Calibri"/>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17,414</w:t>
            </w:r>
          </w:p>
        </w:tc>
        <w:tc>
          <w:tcPr>
            <w:tcW w:w="32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15,260</w:t>
            </w:r>
          </w:p>
        </w:tc>
        <w:tc>
          <w:tcPr>
            <w:tcW w:w="3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6,510</w:t>
            </w:r>
          </w:p>
        </w:tc>
        <w:tc>
          <w:tcPr>
            <w:tcW w:w="40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w:t>
            </w:r>
          </w:p>
        </w:tc>
        <w:tc>
          <w:tcPr>
            <w:tcW w:w="68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56</w:t>
            </w:r>
          </w:p>
        </w:tc>
        <w:tc>
          <w:tcPr>
            <w:tcW w:w="34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8"/>
                <w:szCs w:val="18"/>
                <w:b w:val="1"/>
                <w:bCs w:val="1"/>
                <w:color w:val="auto"/>
              </w:rPr>
              <w:t>2,448</w:t>
            </w:r>
          </w:p>
        </w:tc>
      </w:tr>
      <w:tr>
        <w:trPr>
          <w:trHeight w:val="230"/>
        </w:trPr>
        <w:tc>
          <w:tcPr>
            <w:tcW w:w="5200" w:type="dxa"/>
            <w:vAlign w:val="bottom"/>
          </w:tcPr>
          <w:p>
            <w:pPr>
              <w:spacing w:after="0"/>
              <w:rPr>
                <w:sz w:val="20"/>
                <w:szCs w:val="20"/>
                <w:color w:val="auto"/>
              </w:rPr>
            </w:pPr>
            <w:r>
              <w:rPr>
                <w:rFonts w:ascii="Calibri" w:cs="Calibri" w:eastAsia="Calibri" w:hAnsi="Calibri"/>
                <w:sz w:val="18"/>
                <w:szCs w:val="18"/>
                <w:color w:val="auto"/>
              </w:rPr>
              <w:t>Adjusted for specifed items: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200" w:type="dxa"/>
            <w:vAlign w:val="bottom"/>
          </w:tcPr>
          <w:p>
            <w:pPr>
              <w:ind w:left="120"/>
              <w:spacing w:after="0"/>
              <w:rPr>
                <w:sz w:val="20"/>
                <w:szCs w:val="20"/>
                <w:color w:val="auto"/>
              </w:rPr>
            </w:pPr>
            <w:r>
              <w:rPr>
                <w:rFonts w:ascii="Calibri" w:cs="Calibri" w:eastAsia="Calibri" w:hAnsi="Calibri"/>
                <w:sz w:val="18"/>
                <w:szCs w:val="18"/>
                <w:color w:val="auto"/>
              </w:rPr>
              <w:t>Intangible asset amortzaton</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(7,689)</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5200" w:type="dxa"/>
            <w:vAlign w:val="bottom"/>
          </w:tcPr>
          <w:p>
            <w:pPr>
              <w:ind w:left="120"/>
              <w:spacing w:after="0"/>
              <w:rPr>
                <w:sz w:val="20"/>
                <w:szCs w:val="20"/>
                <w:color w:val="auto"/>
              </w:rPr>
            </w:pPr>
            <w:r>
              <w:rPr>
                <w:rFonts w:ascii="Calibri" w:cs="Calibri" w:eastAsia="Calibri" w:hAnsi="Calibri"/>
                <w:sz w:val="18"/>
                <w:szCs w:val="18"/>
                <w:color w:val="auto"/>
              </w:rPr>
              <w:t>Intangible asset impairment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(770)</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200" w:type="dxa"/>
            <w:vAlign w:val="bottom"/>
          </w:tcPr>
          <w:p>
            <w:pPr>
              <w:ind w:left="120"/>
              <w:spacing w:after="0"/>
              <w:rPr>
                <w:sz w:val="20"/>
                <w:szCs w:val="20"/>
                <w:color w:val="auto"/>
              </w:rPr>
            </w:pPr>
            <w:r>
              <w:rPr>
                <w:rFonts w:ascii="Calibri" w:cs="Calibri" w:eastAsia="Calibri" w:hAnsi="Calibri"/>
                <w:sz w:val="18"/>
                <w:szCs w:val="18"/>
                <w:color w:val="auto"/>
              </w:rPr>
              <w:t>Acquisiton and integraton costs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(83)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(468)</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(30)</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(229)</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200" w:type="dxa"/>
            <w:vAlign w:val="bottom"/>
          </w:tcPr>
          <w:p>
            <w:pPr>
              <w:ind w:left="120"/>
              <w:spacing w:after="0"/>
              <w:rPr>
                <w:sz w:val="20"/>
                <w:szCs w:val="20"/>
                <w:color w:val="auto"/>
              </w:rPr>
            </w:pPr>
            <w:r>
              <w:rPr>
                <w:rFonts w:ascii="Calibri" w:cs="Calibri" w:eastAsia="Calibri" w:hAnsi="Calibri"/>
                <w:sz w:val="18"/>
                <w:szCs w:val="18"/>
                <w:color w:val="auto"/>
              </w:rPr>
              <w:t>Change in fair value of contngent consideraton</w:t>
            </w: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(2,761)</w:t>
            </w:r>
          </w:p>
        </w:tc>
      </w:tr>
      <w:tr>
        <w:trPr>
          <w:trHeight w:val="230"/>
        </w:trPr>
        <w:tc>
          <w:tcPr>
            <w:tcW w:w="5200" w:type="dxa"/>
            <w:vAlign w:val="bottom"/>
          </w:tcPr>
          <w:p>
            <w:pPr>
              <w:ind w:left="120"/>
              <w:spacing w:after="0"/>
              <w:rPr>
                <w:sz w:val="20"/>
                <w:szCs w:val="20"/>
                <w:color w:val="auto"/>
              </w:rPr>
            </w:pPr>
            <w:r>
              <w:rPr>
                <w:rFonts w:ascii="Calibri" w:cs="Calibri" w:eastAsia="Calibri" w:hAnsi="Calibri"/>
                <w:sz w:val="18"/>
                <w:szCs w:val="18"/>
                <w:color w:val="auto"/>
              </w:rPr>
              <w:t>Pylera divestture</w:t>
            </w: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Calibri" w:cs="Calibri" w:eastAsia="Calibri" w:hAnsi="Calibri"/>
                <w:sz w:val="18"/>
                <w:szCs w:val="18"/>
                <w:color w:val="auto"/>
              </w:rPr>
              <w:t>172</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5200" w:type="dxa"/>
            <w:vAlign w:val="bottom"/>
          </w:tcPr>
          <w:p>
            <w:pPr>
              <w:ind w:left="100"/>
              <w:spacing w:after="0"/>
              <w:rPr>
                <w:sz w:val="20"/>
                <w:szCs w:val="20"/>
                <w:color w:val="auto"/>
              </w:rPr>
            </w:pPr>
            <w:r>
              <w:rPr>
                <w:rFonts w:ascii="Calibri" w:cs="Calibri" w:eastAsia="Calibri" w:hAnsi="Calibri"/>
                <w:sz w:val="18"/>
                <w:szCs w:val="18"/>
                <w:color w:val="auto"/>
              </w:rPr>
              <w:t>Litgaton maters</w:t>
            </w: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(2,506)</w:t>
            </w:r>
          </w:p>
        </w:tc>
        <w:tc>
          <w:tcPr>
            <w:tcW w:w="3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200" w:type="dxa"/>
            <w:vAlign w:val="bottom"/>
          </w:tcPr>
          <w:p>
            <w:pPr>
              <w:ind w:left="120"/>
              <w:spacing w:after="0"/>
              <w:rPr>
                <w:sz w:val="20"/>
                <w:szCs w:val="20"/>
                <w:color w:val="auto"/>
              </w:rPr>
            </w:pPr>
            <w:r>
              <w:rPr>
                <w:rFonts w:ascii="Calibri" w:cs="Calibri" w:eastAsia="Calibri" w:hAnsi="Calibri"/>
                <w:sz w:val="18"/>
                <w:szCs w:val="18"/>
                <w:color w:val="auto"/>
              </w:rPr>
              <w:t>Other</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(259)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(160)</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Calibri" w:cs="Calibri" w:eastAsia="Calibri" w:hAnsi="Calibri"/>
                <w:sz w:val="18"/>
                <w:szCs w:val="18"/>
                <w:color w:val="auto"/>
              </w:rPr>
              <w:t>1</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34</w:t>
            </w: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5200" w:type="dxa"/>
            <w:vAlign w:val="bottom"/>
          </w:tcPr>
          <w:p>
            <w:pPr>
              <w:spacing w:after="0"/>
              <w:rPr>
                <w:sz w:val="20"/>
                <w:szCs w:val="20"/>
                <w:color w:val="auto"/>
              </w:rPr>
            </w:pPr>
            <w:r>
              <w:rPr>
                <w:rFonts w:ascii="Calibri" w:cs="Calibri" w:eastAsia="Calibri" w:hAnsi="Calibri"/>
                <w:sz w:val="18"/>
                <w:szCs w:val="18"/>
                <w:b w:val="1"/>
                <w:bCs w:val="1"/>
                <w:color w:val="auto"/>
              </w:rPr>
              <w:t>As adjusted (non-GAAP)</w:t>
            </w:r>
          </w:p>
        </w:tc>
        <w:tc>
          <w:tcPr>
            <w:tcW w:w="2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8,613</w:t>
            </w:r>
          </w:p>
        </w:tc>
        <w:tc>
          <w:tcPr>
            <w:tcW w:w="32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12,126</w:t>
            </w:r>
          </w:p>
        </w:tc>
        <w:tc>
          <w:tcPr>
            <w:tcW w:w="3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6,435</w:t>
            </w:r>
          </w:p>
        </w:tc>
        <w:tc>
          <w:tcPr>
            <w:tcW w:w="40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34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(279)</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20"/>
                <w:szCs w:val="20"/>
                <w:color w:val="auto"/>
              </w:rPr>
            </w:pPr>
            <w:r>
              <w:rPr>
                <w:rFonts w:ascii="Calibri" w:cs="Calibri" w:eastAsia="Calibri" w:hAnsi="Calibri"/>
                <w:sz w:val="18"/>
                <w:szCs w:val="18"/>
                <w:color w:val="auto"/>
              </w:rPr>
              <w:t>3.  The adjusted tax rate for the full-year 2022 was 13.0 percent, as detailed below:</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980" w:type="dxa"/>
            <w:vAlign w:val="bottom"/>
            <w:gridSpan w:val="4"/>
          </w:tcPr>
          <w:p>
            <w:pPr>
              <w:jc w:val="right"/>
              <w:ind w:right="550"/>
              <w:spacing w:after="0"/>
              <w:rPr>
                <w:sz w:val="20"/>
                <w:szCs w:val="20"/>
                <w:color w:val="auto"/>
              </w:rPr>
            </w:pPr>
            <w:r>
              <w:rPr>
                <w:rFonts w:ascii="Calibri" w:cs="Calibri" w:eastAsia="Calibri" w:hAnsi="Calibri"/>
                <w:sz w:val="18"/>
                <w:szCs w:val="18"/>
                <w:b w:val="1"/>
                <w:bCs w:val="1"/>
                <w:color w:val="auto"/>
              </w:rPr>
              <w:t>Twelve Months Ended December 31, 2022</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(dollars in millions)</w:t>
            </w: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80" w:type="dxa"/>
            <w:vAlign w:val="bottom"/>
            <w:vMerge w:val="continue"/>
          </w:tcPr>
          <w:p>
            <w:pPr>
              <w:spacing w:after="0"/>
              <w:rPr>
                <w:sz w:val="18"/>
                <w:szCs w:val="18"/>
                <w:color w:val="auto"/>
              </w:rPr>
            </w:pPr>
          </w:p>
        </w:tc>
        <w:tc>
          <w:tcPr>
            <w:tcW w:w="1380" w:type="dxa"/>
            <w:vAlign w:val="bottom"/>
            <w:tcBorders>
              <w:bottom w:val="single" w:sz="8" w:color="auto"/>
            </w:tcBorders>
            <w:gridSpan w:val="2"/>
          </w:tcPr>
          <w:p>
            <w:pPr>
              <w:jc w:val="right"/>
              <w:ind w:right="50"/>
              <w:spacing w:after="0" w:line="208" w:lineRule="exact"/>
              <w:rPr>
                <w:sz w:val="20"/>
                <w:szCs w:val="20"/>
                <w:color w:val="auto"/>
              </w:rPr>
            </w:pPr>
            <w:r>
              <w:rPr>
                <w:rFonts w:ascii="Calibri" w:cs="Calibri" w:eastAsia="Calibri" w:hAnsi="Calibri"/>
                <w:sz w:val="18"/>
                <w:szCs w:val="18"/>
                <w:color w:val="auto"/>
              </w:rPr>
              <w:t>Pre-tax earnings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color w:val="auto"/>
                <w:w w:val="98"/>
              </w:rPr>
              <w:t>Income taxes</w:t>
            </w:r>
          </w:p>
        </w:tc>
        <w:tc>
          <w:tcPr>
            <w:tcW w:w="1300" w:type="dxa"/>
            <w:vAlign w:val="bottom"/>
            <w:tcBorders>
              <w:bottom w:val="single" w:sz="8" w:color="auto"/>
            </w:tcBorders>
          </w:tcPr>
          <w:p>
            <w:pPr>
              <w:jc w:val="right"/>
              <w:ind w:right="350"/>
              <w:spacing w:after="0" w:line="208" w:lineRule="exact"/>
              <w:rPr>
                <w:sz w:val="20"/>
                <w:szCs w:val="20"/>
                <w:color w:val="auto"/>
              </w:rPr>
            </w:pPr>
            <w:r>
              <w:rPr>
                <w:rFonts w:ascii="Calibri" w:cs="Calibri" w:eastAsia="Calibri" w:hAnsi="Calibri"/>
                <w:sz w:val="18"/>
                <w:szCs w:val="18"/>
                <w:color w:val="auto"/>
              </w:rPr>
              <w:t>Tax rate</w:t>
            </w:r>
          </w:p>
        </w:tc>
        <w:tc>
          <w:tcPr>
            <w:tcW w:w="0" w:type="dxa"/>
            <w:vAlign w:val="bottom"/>
          </w:tcPr>
          <w:p>
            <w:pPr>
              <w:spacing w:after="0"/>
              <w:rPr>
                <w:sz w:val="1"/>
                <w:szCs w:val="1"/>
                <w:color w:val="auto"/>
              </w:rPr>
            </w:pPr>
          </w:p>
        </w:tc>
      </w:tr>
      <w:tr>
        <w:trPr>
          <w:trHeight w:val="215"/>
        </w:trPr>
        <w:tc>
          <w:tcPr>
            <w:tcW w:w="6480" w:type="dxa"/>
            <w:vAlign w:val="bottom"/>
          </w:tcPr>
          <w:p>
            <w:pPr>
              <w:ind w:left="360"/>
              <w:spacing w:after="0" w:line="206" w:lineRule="exact"/>
              <w:rPr>
                <w:sz w:val="20"/>
                <w:szCs w:val="20"/>
                <w:color w:val="auto"/>
              </w:rPr>
            </w:pPr>
            <w:r>
              <w:rPr>
                <w:rFonts w:ascii="Calibri" w:cs="Calibri" w:eastAsia="Calibri" w:hAnsi="Calibri"/>
                <w:sz w:val="18"/>
                <w:szCs w:val="18"/>
                <w:b w:val="1"/>
                <w:bCs w:val="1"/>
                <w:color w:val="auto"/>
              </w:rPr>
              <w:t>As reported (GAAP)</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13,477</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4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1,632</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12.1 %</w:t>
            </w:r>
          </w:p>
        </w:tc>
        <w:tc>
          <w:tcPr>
            <w:tcW w:w="0" w:type="dxa"/>
            <w:vAlign w:val="bottom"/>
          </w:tcPr>
          <w:p>
            <w:pPr>
              <w:spacing w:after="0"/>
              <w:rPr>
                <w:sz w:val="1"/>
                <w:szCs w:val="1"/>
                <w:color w:val="auto"/>
              </w:rPr>
            </w:pPr>
          </w:p>
        </w:tc>
      </w:tr>
      <w:tr>
        <w:trPr>
          <w:trHeight w:val="221"/>
        </w:trPr>
        <w:tc>
          <w:tcPr>
            <w:tcW w:w="6480" w:type="dxa"/>
            <w:vAlign w:val="bottom"/>
          </w:tcPr>
          <w:p>
            <w:pPr>
              <w:ind w:left="360"/>
              <w:spacing w:after="0"/>
              <w:rPr>
                <w:sz w:val="20"/>
                <w:szCs w:val="20"/>
                <w:color w:val="auto"/>
              </w:rPr>
            </w:pPr>
            <w:r>
              <w:rPr>
                <w:rFonts w:ascii="Calibri" w:cs="Calibri" w:eastAsia="Calibri" w:hAnsi="Calibri"/>
                <w:sz w:val="18"/>
                <w:szCs w:val="18"/>
                <w:color w:val="auto"/>
              </w:rPr>
              <w:t>Specifed items</w:t>
            </w:r>
          </w:p>
        </w:tc>
        <w:tc>
          <w:tcPr>
            <w:tcW w:w="3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Calibri" w:cs="Calibri" w:eastAsia="Calibri" w:hAnsi="Calibri"/>
                <w:sz w:val="18"/>
                <w:szCs w:val="18"/>
                <w:color w:val="auto"/>
              </w:rPr>
              <w:t>14,793</w:t>
            </w:r>
          </w:p>
        </w:tc>
        <w:tc>
          <w:tcPr>
            <w:tcW w:w="24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Calibri" w:cs="Calibri" w:eastAsia="Calibri" w:hAnsi="Calibri"/>
                <w:sz w:val="18"/>
                <w:szCs w:val="18"/>
                <w:color w:val="auto"/>
              </w:rPr>
              <w:t>2,032</w:t>
            </w:r>
          </w:p>
        </w:tc>
        <w:tc>
          <w:tcPr>
            <w:tcW w:w="1300" w:type="dxa"/>
            <w:vAlign w:val="bottom"/>
          </w:tcPr>
          <w:p>
            <w:pPr>
              <w:jc w:val="right"/>
              <w:spacing w:after="0"/>
              <w:rPr>
                <w:sz w:val="20"/>
                <w:szCs w:val="20"/>
                <w:color w:val="auto"/>
              </w:rPr>
            </w:pPr>
            <w:r>
              <w:rPr>
                <w:rFonts w:ascii="Calibri" w:cs="Calibri" w:eastAsia="Calibri" w:hAnsi="Calibri"/>
                <w:sz w:val="18"/>
                <w:szCs w:val="18"/>
                <w:color w:val="auto"/>
              </w:rPr>
              <w:t>13.7 %</w:t>
            </w:r>
          </w:p>
        </w:tc>
        <w:tc>
          <w:tcPr>
            <w:tcW w:w="0" w:type="dxa"/>
            <w:vAlign w:val="bottom"/>
          </w:tcPr>
          <w:p>
            <w:pPr>
              <w:spacing w:after="0"/>
              <w:rPr>
                <w:sz w:val="1"/>
                <w:szCs w:val="1"/>
                <w:color w:val="auto"/>
              </w:rPr>
            </w:pPr>
          </w:p>
        </w:tc>
      </w:tr>
      <w:tr>
        <w:trPr>
          <w:trHeight w:val="24"/>
        </w:trPr>
        <w:tc>
          <w:tcPr>
            <w:tcW w:w="6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Calibri" w:cs="Calibri" w:eastAsia="Calibri" w:hAnsi="Calibri"/>
                <w:sz w:val="18"/>
                <w:szCs w:val="18"/>
                <w:b w:val="1"/>
                <w:bCs w:val="1"/>
                <w:color w:val="auto"/>
              </w:rPr>
              <w:t>As adjusted (non-GAAP)</w:t>
            </w:r>
          </w:p>
        </w:tc>
        <w:tc>
          <w:tcPr>
            <w:tcW w:w="3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28,270</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40" w:type="dxa"/>
            <w:vAlign w:val="bottom"/>
            <w:tcBorders>
              <w:bottom w:val="single" w:sz="8" w:color="auto"/>
            </w:tcBorders>
          </w:tcPr>
          <w:p>
            <w:pPr>
              <w:jc w:val="right"/>
              <w:ind w:right="230"/>
              <w:spacing w:after="0" w:line="215" w:lineRule="exact"/>
              <w:rPr>
                <w:sz w:val="20"/>
                <w:szCs w:val="20"/>
                <w:color w:val="auto"/>
              </w:rPr>
            </w:pPr>
            <w:r>
              <w:rPr>
                <w:rFonts w:ascii="Calibri" w:cs="Calibri" w:eastAsia="Calibri" w:hAnsi="Calibri"/>
                <w:sz w:val="18"/>
                <w:szCs w:val="18"/>
                <w:b w:val="1"/>
                <w:bCs w:val="1"/>
                <w:color w:val="auto"/>
              </w:rPr>
              <w:t>3,664</w:t>
            </w: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13.0 %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Calibri" w:cs="Calibri" w:eastAsia="Calibri" w:hAnsi="Calibri"/>
          <w:sz w:val="19"/>
          <w:szCs w:val="19"/>
          <w:color w:val="auto"/>
        </w:rPr>
        <w:t>12</w:t>
      </w:r>
    </w:p>
    <w:p>
      <w:pPr>
        <w:sectPr>
          <w:pgSz w:w="11900" w:h="16838" w:orient="portrait"/>
          <w:cols w:equalWidth="0" w:num="1">
            <w:col w:w="11240"/>
          </w:cols>
          <w:pgMar w:left="320" w:top="870" w:right="339" w:bottom="1440" w:gutter="0" w:footer="0" w:header="0"/>
          <w:type w:val="continuous"/>
        </w:sectPr>
      </w:pPr>
    </w:p>
    <w:bookmarkStart w:id="15" w:name="page16"/>
    <w:bookmarkEnd w:id="15"/>
    <w:p>
      <w:pPr>
        <w:jc w:val="center"/>
        <w:ind w:right="-19"/>
        <w:spacing w:after="0"/>
        <w:rPr>
          <w:sz w:val="20"/>
          <w:szCs w:val="20"/>
          <w:color w:val="auto"/>
        </w:rPr>
      </w:pPr>
      <w:r>
        <w:rPr>
          <w:rFonts w:ascii="Calibri" w:cs="Calibri" w:eastAsia="Calibri" w:hAnsi="Calibri"/>
          <w:sz w:val="22"/>
          <w:szCs w:val="22"/>
          <w:b w:val="1"/>
          <w:bCs w:val="1"/>
          <w:color w:val="auto"/>
        </w:rPr>
        <w:t>AbbVie Inc.</w:t>
      </w:r>
    </w:p>
    <w:p>
      <w:pPr>
        <w:jc w:val="center"/>
        <w:ind w:right="-19"/>
        <w:spacing w:after="0"/>
        <w:rPr>
          <w:sz w:val="20"/>
          <w:szCs w:val="20"/>
          <w:color w:val="auto"/>
        </w:rPr>
      </w:pPr>
      <w:r>
        <w:rPr>
          <w:rFonts w:ascii="Calibri" w:cs="Calibri" w:eastAsia="Calibri" w:hAnsi="Calibri"/>
          <w:sz w:val="21"/>
          <w:szCs w:val="21"/>
          <w:b w:val="1"/>
          <w:bCs w:val="1"/>
          <w:color w:val="auto"/>
        </w:rPr>
        <w:t>Reconciliaton of GAAP Reported to Non-GAAP Adjusted Informaton</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(Unaudited)</w:t>
      </w:r>
    </w:p>
    <w:p>
      <w:pPr>
        <w:sectPr>
          <w:pgSz w:w="11900" w:h="16838" w:orient="portrait"/>
          <w:cols w:equalWidth="0" w:num="1">
            <w:col w:w="11240"/>
          </w:cols>
          <w:pgMar w:left="320" w:top="870" w:right="339" w:bottom="1440" w:gutter="0" w:footer="0" w:header="0"/>
        </w:sectPr>
      </w:pPr>
    </w:p>
    <w:p>
      <w:pPr>
        <w:spacing w:after="0" w:line="135" w:lineRule="exact"/>
        <w:rPr>
          <w:sz w:val="20"/>
          <w:szCs w:val="20"/>
          <w:color w:val="auto"/>
        </w:rPr>
      </w:pPr>
    </w:p>
    <w:p>
      <w:pPr>
        <w:spacing w:after="0"/>
        <w:tabs>
          <w:tab w:leader="none" w:pos="280" w:val="left"/>
        </w:tabs>
        <w:rPr>
          <w:sz w:val="20"/>
          <w:szCs w:val="20"/>
          <w:color w:val="auto"/>
        </w:rPr>
      </w:pPr>
      <w:r>
        <w:rPr>
          <w:rFonts w:ascii="Calibri" w:cs="Calibri" w:eastAsia="Calibri" w:hAnsi="Calibri"/>
          <w:sz w:val="18"/>
          <w:szCs w:val="18"/>
          <w:color w:val="auto"/>
        </w:rPr>
        <w:t>1.</w:t>
      </w:r>
      <w:r>
        <w:rPr>
          <w:sz w:val="20"/>
          <w:szCs w:val="20"/>
          <w:color w:val="auto"/>
        </w:rPr>
        <w:tab/>
      </w:r>
      <w:r>
        <w:rPr>
          <w:rFonts w:ascii="Calibri" w:cs="Calibri" w:eastAsia="Calibri" w:hAnsi="Calibri"/>
          <w:sz w:val="17"/>
          <w:szCs w:val="17"/>
          <w:color w:val="auto"/>
        </w:rPr>
        <w:t>Specifed items impacted results as follows:</w:t>
      </w:r>
    </w:p>
    <w:p>
      <w:pPr>
        <w:spacing w:after="0" w:line="280"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(in millions, except per share data)</w:t>
      </w:r>
    </w:p>
    <w:p>
      <w:pPr>
        <w:spacing w:after="0" w:line="266"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As reported (GAAP)</w:t>
      </w:r>
    </w:p>
    <w:p>
      <w:pPr>
        <w:spacing w:after="0" w:line="10" w:lineRule="exact"/>
        <w:rPr>
          <w:sz w:val="20"/>
          <w:szCs w:val="20"/>
          <w:color w:val="auto"/>
        </w:rPr>
      </w:pPr>
    </w:p>
    <w:p>
      <w:pPr>
        <w:ind w:left="360"/>
        <w:spacing w:after="0"/>
        <w:rPr>
          <w:sz w:val="20"/>
          <w:szCs w:val="20"/>
          <w:color w:val="auto"/>
        </w:rPr>
      </w:pPr>
      <w:r>
        <w:rPr>
          <w:rFonts w:ascii="Calibri" w:cs="Calibri" w:eastAsia="Calibri" w:hAnsi="Calibri"/>
          <w:sz w:val="18"/>
          <w:szCs w:val="18"/>
          <w:color w:val="auto"/>
        </w:rPr>
        <w:t>Adjusted for specifed items:</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Intangible asset amortzaton</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Acquisiton and integraton costs</w:t>
      </w:r>
    </w:p>
    <w:p>
      <w:pPr>
        <w:spacing w:after="0" w:line="15" w:lineRule="exact"/>
        <w:rPr>
          <w:sz w:val="20"/>
          <w:szCs w:val="20"/>
          <w:color w:val="auto"/>
        </w:rPr>
      </w:pPr>
    </w:p>
    <w:p>
      <w:pPr>
        <w:ind w:left="480" w:right="1860"/>
        <w:spacing w:after="0" w:line="245" w:lineRule="auto"/>
        <w:rPr>
          <w:sz w:val="20"/>
          <w:szCs w:val="20"/>
          <w:color w:val="auto"/>
        </w:rPr>
      </w:pPr>
      <w:r>
        <w:rPr>
          <w:rFonts w:ascii="Calibri" w:cs="Calibri" w:eastAsia="Calibri" w:hAnsi="Calibri"/>
          <w:sz w:val="18"/>
          <w:szCs w:val="18"/>
          <w:color w:val="auto"/>
        </w:rPr>
        <w:t>Change in fair value of contngent consideraton Litgaton maters</w:t>
      </w:r>
    </w:p>
    <w:p>
      <w:pPr>
        <w:spacing w:after="0" w:line="6"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Impacts related to tax law changes</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Other</w:t>
      </w:r>
    </w:p>
    <w:p>
      <w:pPr>
        <w:spacing w:after="0" w:line="50"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As adjusted (non-GAAP)</w:t>
      </w:r>
    </w:p>
    <w:p>
      <w:pPr>
        <w:spacing w:after="0" w:line="163" w:lineRule="exact"/>
        <w:rPr>
          <w:sz w:val="20"/>
          <w:szCs w:val="20"/>
          <w:color w:val="auto"/>
        </w:rPr>
      </w:pPr>
    </w:p>
    <w:p>
      <w:pPr>
        <w:ind w:left="120" w:hanging="72"/>
        <w:spacing w:after="0"/>
        <w:tabs>
          <w:tab w:leader="none" w:pos="120" w:val="left"/>
        </w:tabs>
        <w:numPr>
          <w:ilvl w:val="0"/>
          <w:numId w:val="16"/>
        </w:numPr>
        <w:rPr>
          <w:rFonts w:ascii="Times New Roman" w:cs="Times New Roman" w:eastAsia="Times New Roman" w:hAnsi="Times New Roman"/>
          <w:sz w:val="19"/>
          <w:szCs w:val="19"/>
          <w:color w:val="auto"/>
          <w:vertAlign w:val="superscript"/>
        </w:rPr>
      </w:pPr>
      <w:r>
        <w:rPr>
          <w:rFonts w:ascii="Calibri" w:cs="Calibri" w:eastAsia="Calibri" w:hAnsi="Calibri"/>
          <w:sz w:val="14"/>
          <w:szCs w:val="14"/>
          <w:color w:val="auto"/>
        </w:rPr>
        <w:t>Represents net earnings atributable to AbbVie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80"/>
        <w:spacing w:after="0"/>
        <w:rPr>
          <w:sz w:val="20"/>
          <w:szCs w:val="20"/>
          <w:color w:val="auto"/>
        </w:rPr>
      </w:pPr>
      <w:r>
        <w:rPr>
          <w:rFonts w:ascii="Calibri" w:cs="Calibri" w:eastAsia="Calibri" w:hAnsi="Calibri"/>
          <w:sz w:val="18"/>
          <w:szCs w:val="18"/>
          <w:b w:val="1"/>
          <w:bCs w:val="1"/>
          <w:color w:val="auto"/>
        </w:rPr>
        <w:t>Twelve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802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Calibri" w:cs="Calibri" w:eastAsia="Calibri" w:hAnsi="Calibri"/>
                <w:sz w:val="18"/>
                <w:szCs w:val="18"/>
                <w:color w:val="auto"/>
              </w:rPr>
              <w:t>Earnings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Calibri" w:cs="Calibri" w:eastAsia="Calibri" w:hAnsi="Calibri"/>
                <w:sz w:val="18"/>
                <w:szCs w:val="18"/>
                <w:color w:val="auto"/>
              </w:rPr>
              <w:t>Diluted</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vMerge w:val="restart"/>
          </w:tcPr>
          <w:p>
            <w:pPr>
              <w:jc w:val="right"/>
              <w:ind w:right="470"/>
              <w:spacing w:after="0"/>
              <w:rPr>
                <w:sz w:val="20"/>
                <w:szCs w:val="20"/>
                <w:color w:val="auto"/>
              </w:rPr>
            </w:pPr>
            <w:r>
              <w:rPr>
                <w:rFonts w:ascii="Calibri" w:cs="Calibri" w:eastAsia="Calibri" w:hAnsi="Calibri"/>
                <w:sz w:val="18"/>
                <w:szCs w:val="18"/>
                <w:color w:val="auto"/>
              </w:rPr>
              <w:t>EPS</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line="223" w:lineRule="exact"/>
              <w:rPr>
                <w:sz w:val="20"/>
                <w:szCs w:val="20"/>
                <w:color w:val="auto"/>
              </w:rPr>
            </w:pPr>
            <w:r>
              <w:rPr>
                <w:rFonts w:ascii="Calibri" w:cs="Calibri" w:eastAsia="Calibri" w:hAnsi="Calibri"/>
                <w:sz w:val="18"/>
                <w:szCs w:val="18"/>
                <w:color w:val="auto"/>
              </w:rPr>
              <w:t>Afer-tax</w:t>
            </w:r>
            <w:r>
              <w:rPr>
                <w:rFonts w:ascii="Calibri" w:cs="Calibri" w:eastAsia="Calibri" w:hAnsi="Calibri"/>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Pr>
          <w:p>
            <w:pPr>
              <w:jc w:val="right"/>
              <w:ind w:right="10"/>
              <w:spacing w:after="0" w:line="208" w:lineRule="exact"/>
              <w:rPr>
                <w:sz w:val="20"/>
                <w:szCs w:val="20"/>
                <w:color w:val="auto"/>
              </w:rPr>
            </w:pPr>
            <w:r>
              <w:rPr>
                <w:rFonts w:ascii="Calibri" w:cs="Calibri" w:eastAsia="Calibri" w:hAnsi="Calibri"/>
                <w:sz w:val="18"/>
                <w:szCs w:val="18"/>
                <w:b w:val="1"/>
                <w:bCs w:val="1"/>
                <w:color w:val="auto"/>
              </w:rPr>
              <w:t>12,989</w:t>
            </w:r>
          </w:p>
        </w:tc>
        <w:tc>
          <w:tcPr>
            <w:tcW w:w="38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11,542</w:t>
            </w:r>
          </w:p>
        </w:tc>
        <w:tc>
          <w:tcPr>
            <w:tcW w:w="380" w:type="dxa"/>
            <w:vAlign w:val="bottom"/>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6.45</w:t>
            </w:r>
          </w:p>
        </w:tc>
        <w:tc>
          <w:tcPr>
            <w:tcW w:w="0" w:type="dxa"/>
            <w:vAlign w:val="bottom"/>
          </w:tcPr>
          <w:p>
            <w:pPr>
              <w:spacing w:after="0"/>
              <w:rPr>
                <w:sz w:val="1"/>
                <w:szCs w:val="1"/>
                <w:color w:val="auto"/>
              </w:rPr>
            </w:pPr>
          </w:p>
        </w:tc>
      </w:tr>
      <w:tr>
        <w:trPr>
          <w:trHeight w:val="450"/>
        </w:trPr>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7,718</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6,419</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3.60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344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215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0.12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2,679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2,677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1.50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307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253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0.14</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(265)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(0.15)</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Calibri" w:cs="Calibri" w:eastAsia="Calibri" w:hAnsi="Calibri"/>
                <w:sz w:val="18"/>
                <w:szCs w:val="18"/>
                <w:color w:val="auto"/>
              </w:rPr>
              <w:t>360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313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0.17</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24,397</w:t>
            </w:r>
          </w:p>
        </w:tc>
        <w:tc>
          <w:tcPr>
            <w:tcW w:w="38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21,154</w:t>
            </w:r>
          </w:p>
        </w:tc>
        <w:tc>
          <w:tcPr>
            <w:tcW w:w="3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11.83</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17" w:lineRule="exact"/>
        <w:rPr>
          <w:sz w:val="20"/>
          <w:szCs w:val="20"/>
          <w:color w:val="auto"/>
        </w:rPr>
      </w:pPr>
    </w:p>
    <w:p>
      <w:pPr>
        <w:sectPr>
          <w:pgSz w:w="11900" w:h="16838" w:orient="portrait"/>
          <w:cols w:equalWidth="0" w:num="2">
            <w:col w:w="5720" w:space="720"/>
            <w:col w:w="4800"/>
          </w:cols>
          <w:pgMar w:left="320" w:top="870" w:right="339" w:bottom="1440" w:gutter="0" w:footer="0" w:header="0"/>
          <w:type w:val="continuous"/>
        </w:sectPr>
      </w:pPr>
    </w:p>
    <w:p>
      <w:pPr>
        <w:ind w:right="180"/>
        <w:spacing w:after="0" w:line="235" w:lineRule="auto"/>
        <w:rPr>
          <w:sz w:val="20"/>
          <w:szCs w:val="20"/>
          <w:color w:val="auto"/>
        </w:rPr>
      </w:pPr>
      <w:r>
        <w:rPr>
          <w:rFonts w:ascii="Calibri" w:cs="Calibri" w:eastAsia="Calibri" w:hAnsi="Calibri"/>
          <w:sz w:val="18"/>
          <w:szCs w:val="18"/>
          <w:color w:val="auto"/>
        </w:rPr>
        <w:t>Acquisiton and integraton costs refect Allergan integraton costs, Soliton acquisiton costs as well as amortzaton of the acquisiton date fair value step-up for inventory related to the Allergan acquisiton partally ofset by a recovery of certain Allergan acquisiton-related regulatory fees. Other primarily includes the purchase of FDA priority review vouchers from third partes, COVID-19 related expenses, restructuring charges associated with streamlining global operatons and certain tax related items.</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color w:val="auto"/>
        </w:rPr>
        <w:t>Beginning in the frst quarter of 2022, the company includes acquired IPR&amp;D and milestones expense in its reported non-GAAP fnancial measures. Reported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GAAP earnings and adjusted non-GAAP earnings for the twelve months ended December 31, 2021 included acquired IPR&amp;D and milestones expense of</w:t>
      </w:r>
    </w:p>
    <w:p>
      <w:pPr>
        <w:spacing w:after="0" w:line="235" w:lineRule="auto"/>
        <w:rPr>
          <w:sz w:val="20"/>
          <w:szCs w:val="20"/>
          <w:color w:val="auto"/>
        </w:rPr>
      </w:pPr>
      <w:r>
        <w:rPr>
          <w:rFonts w:ascii="Calibri" w:cs="Calibri" w:eastAsia="Calibri" w:hAnsi="Calibri"/>
          <w:sz w:val="18"/>
          <w:szCs w:val="18"/>
          <w:color w:val="auto"/>
        </w:rPr>
        <w:t>$1.1 billion on a pre-tax and afer-tax basis, as well as other operatng expense related to the Calico collaboraton of $500 million on a pre-tax and afer-tax</w:t>
      </w:r>
    </w:p>
    <w:p>
      <w:pPr>
        <w:spacing w:after="0" w:line="236" w:lineRule="auto"/>
        <w:rPr>
          <w:sz w:val="20"/>
          <w:szCs w:val="20"/>
          <w:color w:val="auto"/>
        </w:rPr>
      </w:pPr>
      <w:r>
        <w:rPr>
          <w:rFonts w:ascii="Calibri" w:cs="Calibri" w:eastAsia="Calibri" w:hAnsi="Calibri"/>
          <w:sz w:val="18"/>
          <w:szCs w:val="18"/>
          <w:color w:val="auto"/>
        </w:rPr>
        <w:t>basis, representng an unfavorable impact of $0.90 to both diluted EPS and adjusted diluted EPS.</w:t>
      </w:r>
    </w:p>
    <w:p>
      <w:pPr>
        <w:spacing w:after="0" w:line="159" w:lineRule="exact"/>
        <w:rPr>
          <w:sz w:val="20"/>
          <w:szCs w:val="20"/>
          <w:color w:val="auto"/>
        </w:rPr>
      </w:pPr>
    </w:p>
    <w:p>
      <w:pPr>
        <w:ind w:left="300" w:hanging="292"/>
        <w:spacing w:after="0"/>
        <w:tabs>
          <w:tab w:leader="none" w:pos="300" w:val="left"/>
        </w:tabs>
        <w:numPr>
          <w:ilvl w:val="0"/>
          <w:numId w:val="17"/>
        </w:numPr>
        <w:rPr>
          <w:rFonts w:ascii="Calibri" w:cs="Calibri" w:eastAsia="Calibri" w:hAnsi="Calibri"/>
          <w:sz w:val="18"/>
          <w:szCs w:val="18"/>
          <w:color w:val="4C4C4C"/>
        </w:rPr>
      </w:pPr>
      <w:r>
        <w:rPr>
          <w:rFonts w:ascii="Calibri" w:cs="Calibri" w:eastAsia="Calibri" w:hAnsi="Calibri"/>
          <w:sz w:val="18"/>
          <w:szCs w:val="18"/>
          <w:color w:val="auto"/>
        </w:rPr>
        <w:t>The impact of the specifed items by line item was as follows: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5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7"/>
              </w:rPr>
              <w:t>Twelve Months Ended December 31, 2021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line="217" w:lineRule="exact"/>
              <w:rPr>
                <w:sz w:val="20"/>
                <w:szCs w:val="20"/>
                <w:color w:val="auto"/>
              </w:rPr>
            </w:pPr>
            <w:r>
              <w:rPr>
                <w:rFonts w:ascii="Calibri" w:cs="Calibri" w:eastAsia="Calibri" w:hAnsi="Calibri"/>
                <w:sz w:val="18"/>
                <w:szCs w:val="18"/>
                <w:b w:val="1"/>
                <w:bCs w:val="1"/>
                <w:color w:val="auto"/>
              </w:rPr>
              <w:t>(in millions)</w:t>
            </w: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000" w:type="dxa"/>
            <w:vAlign w:val="bottom"/>
            <w:vMerge w:val="continue"/>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Calibri" w:cs="Calibri" w:eastAsia="Calibri" w:hAnsi="Calibri"/>
                <w:sz w:val="18"/>
                <w:szCs w:val="18"/>
                <w:color w:val="auto"/>
                <w:w w:val="97"/>
              </w:rPr>
              <w:t>Cost of</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jc w:val="center"/>
              <w:ind w:left="70"/>
              <w:spacing w:after="0" w:line="174" w:lineRule="exact"/>
              <w:rPr>
                <w:sz w:val="20"/>
                <w:szCs w:val="20"/>
                <w:color w:val="auto"/>
              </w:rPr>
            </w:pPr>
            <w:r>
              <w:rPr>
                <w:rFonts w:ascii="Calibri" w:cs="Calibri" w:eastAsia="Calibri" w:hAnsi="Calibri"/>
                <w:sz w:val="18"/>
                <w:szCs w:val="18"/>
                <w:color w:val="auto"/>
                <w:w w:val="98"/>
              </w:rPr>
              <w:t>Other</w:t>
            </w:r>
          </w:p>
        </w:tc>
        <w:tc>
          <w:tcPr>
            <w:tcW w:w="1060" w:type="dxa"/>
            <w:vAlign w:val="bottom"/>
            <w:vMerge w:val="restart"/>
          </w:tcPr>
          <w:p>
            <w:pPr>
              <w:jc w:val="center"/>
              <w:spacing w:after="0"/>
              <w:rPr>
                <w:sz w:val="20"/>
                <w:szCs w:val="20"/>
                <w:color w:val="auto"/>
              </w:rPr>
            </w:pPr>
            <w:r>
              <w:rPr>
                <w:rFonts w:ascii="Calibri" w:cs="Calibri" w:eastAsia="Calibri" w:hAnsi="Calibri"/>
                <w:sz w:val="18"/>
                <w:szCs w:val="18"/>
                <w:color w:val="auto"/>
                <w:w w:val="98"/>
              </w:rPr>
              <w:t>Other</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jc w:val="center"/>
              <w:ind w:left="50"/>
              <w:spacing w:after="0" w:line="175" w:lineRule="exact"/>
              <w:rPr>
                <w:sz w:val="20"/>
                <w:szCs w:val="20"/>
                <w:color w:val="auto"/>
              </w:rPr>
            </w:pPr>
            <w:r>
              <w:rPr>
                <w:rFonts w:ascii="Calibri" w:cs="Calibri" w:eastAsia="Calibri" w:hAnsi="Calibri"/>
                <w:sz w:val="18"/>
                <w:szCs w:val="18"/>
                <w:color w:val="auto"/>
              </w:rPr>
              <w:t>operatng</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products sold</w:t>
            </w:r>
          </w:p>
        </w:tc>
        <w:tc>
          <w:tcPr>
            <w:tcW w:w="1120" w:type="dxa"/>
            <w:vAlign w:val="bottom"/>
          </w:tcPr>
          <w:p>
            <w:pPr>
              <w:ind w:left="320"/>
              <w:spacing w:after="0" w:line="215" w:lineRule="exact"/>
              <w:rPr>
                <w:sz w:val="20"/>
                <w:szCs w:val="20"/>
                <w:color w:val="auto"/>
              </w:rPr>
            </w:pPr>
            <w:r>
              <w:rPr>
                <w:rFonts w:ascii="Calibri" w:cs="Calibri" w:eastAsia="Calibri" w:hAnsi="Calibri"/>
                <w:sz w:val="18"/>
                <w:szCs w:val="18"/>
                <w:color w:val="auto"/>
              </w:rPr>
              <w:t>SG&amp;A</w:t>
            </w:r>
          </w:p>
        </w:tc>
        <w:tc>
          <w:tcPr>
            <w:tcW w:w="94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rPr>
              <w:t>R&amp;D</w:t>
            </w:r>
          </w:p>
        </w:tc>
        <w:tc>
          <w:tcPr>
            <w:tcW w:w="1260" w:type="dxa"/>
            <w:vAlign w:val="bottom"/>
          </w:tcPr>
          <w:p>
            <w:pPr>
              <w:jc w:val="center"/>
              <w:ind w:left="50"/>
              <w:spacing w:after="0" w:line="215" w:lineRule="exact"/>
              <w:rPr>
                <w:sz w:val="20"/>
                <w:szCs w:val="20"/>
                <w:color w:val="auto"/>
              </w:rPr>
            </w:pPr>
            <w:r>
              <w:rPr>
                <w:rFonts w:ascii="Calibri" w:cs="Calibri" w:eastAsia="Calibri" w:hAnsi="Calibri"/>
                <w:sz w:val="18"/>
                <w:szCs w:val="18"/>
                <w:color w:val="auto"/>
                <w:w w:val="98"/>
              </w:rPr>
              <w:t>expense, net</w:t>
            </w:r>
          </w:p>
        </w:tc>
        <w:tc>
          <w:tcPr>
            <w:tcW w:w="10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expense,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14605</wp:posOffset>
            </wp:positionV>
            <wp:extent cx="3480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tcPr>
          <w:p>
            <w:pPr>
              <w:ind w:left="360"/>
              <w:spacing w:after="0"/>
              <w:rPr>
                <w:sz w:val="20"/>
                <w:szCs w:val="20"/>
                <w:color w:val="auto"/>
              </w:rPr>
            </w:pPr>
            <w:r>
              <w:rPr>
                <w:rFonts w:ascii="Calibri" w:cs="Calibri" w:eastAsia="Calibri" w:hAnsi="Calibri"/>
                <w:sz w:val="18"/>
                <w:szCs w:val="18"/>
                <w:b w:val="1"/>
                <w:bCs w:val="1"/>
                <w:color w:val="auto"/>
              </w:rPr>
              <w:t>As reported (GAAP)</w:t>
            </w:r>
          </w:p>
        </w:tc>
        <w:tc>
          <w:tcPr>
            <w:tcW w:w="30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w:t>
            </w:r>
          </w:p>
        </w:tc>
        <w:tc>
          <w:tcPr>
            <w:tcW w:w="82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17,446</w:t>
            </w:r>
          </w:p>
        </w:tc>
        <w:tc>
          <w:tcPr>
            <w:tcW w:w="30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12,349</w:t>
            </w:r>
          </w:p>
        </w:tc>
        <w:tc>
          <w:tcPr>
            <w:tcW w:w="30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2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6,922</w:t>
            </w:r>
          </w:p>
        </w:tc>
        <w:tc>
          <w:tcPr>
            <w:tcW w:w="64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w:t>
            </w:r>
          </w:p>
        </w:tc>
        <w:tc>
          <w:tcPr>
            <w:tcW w:w="4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432</w:t>
            </w:r>
          </w:p>
        </w:tc>
        <w:tc>
          <w:tcPr>
            <w:tcW w:w="500" w:type="dxa"/>
            <w:vAlign w:val="bottom"/>
          </w:tcPr>
          <w:p>
            <w:pPr>
              <w:ind w:left="100"/>
              <w:spacing w:after="0"/>
              <w:rPr>
                <w:sz w:val="20"/>
                <w:szCs w:val="20"/>
                <w:color w:val="auto"/>
              </w:rPr>
            </w:pPr>
            <w:r>
              <w:rPr>
                <w:rFonts w:ascii="Calibri" w:cs="Calibri" w:eastAsia="Calibri" w:hAnsi="Calibri"/>
                <w:sz w:val="18"/>
                <w:szCs w:val="18"/>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b w:val="1"/>
                <w:bCs w:val="1"/>
                <w:color w:val="auto"/>
              </w:rPr>
              <w:t>2,500</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Calibri" w:cs="Calibri" w:eastAsia="Calibri" w:hAnsi="Calibri"/>
                <w:sz w:val="18"/>
                <w:szCs w:val="18"/>
                <w:color w:val="auto"/>
              </w:rPr>
              <w:t>Adjusted for specifed items: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480"/>
              <w:spacing w:after="0"/>
              <w:rPr>
                <w:sz w:val="20"/>
                <w:szCs w:val="20"/>
                <w:color w:val="auto"/>
              </w:rPr>
            </w:pPr>
            <w:r>
              <w:rPr>
                <w:rFonts w:ascii="Calibri" w:cs="Calibri" w:eastAsia="Calibri" w:hAnsi="Calibri"/>
                <w:sz w:val="18"/>
                <w:szCs w:val="18"/>
                <w:color w:val="auto"/>
              </w:rPr>
              <w:t>Intangible asset amortzaton</w:t>
            </w: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Calibri" w:cs="Calibri" w:eastAsia="Calibri" w:hAnsi="Calibri"/>
                <w:sz w:val="18"/>
                <w:szCs w:val="18"/>
                <w:color w:val="auto"/>
              </w:rPr>
              <w:t>(7,718)</w:t>
            </w:r>
          </w:p>
        </w:tc>
        <w:tc>
          <w:tcPr>
            <w:tcW w:w="300" w:type="dxa"/>
            <w:vAlign w:val="bottom"/>
          </w:tcPr>
          <w:p>
            <w:pPr>
              <w:spacing w:after="0"/>
              <w:rPr>
                <w:sz w:val="19"/>
                <w:szCs w:val="19"/>
                <w:color w:val="auto"/>
              </w:rPr>
            </w:pPr>
          </w:p>
        </w:tc>
        <w:tc>
          <w:tcPr>
            <w:tcW w:w="780" w:type="dxa"/>
            <w:vAlign w:val="bottom"/>
          </w:tcPr>
          <w:p>
            <w:pPr>
              <w:ind w:left="5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480"/>
              <w:spacing w:after="0"/>
              <w:rPr>
                <w:sz w:val="20"/>
                <w:szCs w:val="20"/>
                <w:color w:val="auto"/>
              </w:rPr>
            </w:pPr>
            <w:r>
              <w:rPr>
                <w:rFonts w:ascii="Calibri" w:cs="Calibri" w:eastAsia="Calibri" w:hAnsi="Calibri"/>
                <w:sz w:val="18"/>
                <w:szCs w:val="18"/>
                <w:color w:val="auto"/>
              </w:rPr>
              <w:t>Acquisiton and integraton costs</w:t>
            </w: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Calibri" w:cs="Calibri" w:eastAsia="Calibri" w:hAnsi="Calibri"/>
                <w:sz w:val="18"/>
                <w:szCs w:val="18"/>
                <w:color w:val="auto"/>
              </w:rPr>
              <w:t>(215)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(104)</w:t>
            </w:r>
          </w:p>
        </w:tc>
        <w:tc>
          <w:tcPr>
            <w:tcW w:w="6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480"/>
              <w:spacing w:after="0"/>
              <w:rPr>
                <w:sz w:val="20"/>
                <w:szCs w:val="20"/>
                <w:color w:val="auto"/>
              </w:rPr>
            </w:pPr>
            <w:r>
              <w:rPr>
                <w:rFonts w:ascii="Calibri" w:cs="Calibri" w:eastAsia="Calibri" w:hAnsi="Calibri"/>
                <w:sz w:val="18"/>
                <w:szCs w:val="18"/>
                <w:color w:val="auto"/>
              </w:rPr>
              <w:t>Change in fair value of contngent consideraton</w:t>
            </w:r>
          </w:p>
        </w:tc>
        <w:tc>
          <w:tcPr>
            <w:tcW w:w="3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780" w:type="dxa"/>
            <w:vAlign w:val="bottom"/>
          </w:tcPr>
          <w:p>
            <w:pPr>
              <w:ind w:left="5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(2,679)</w:t>
            </w:r>
          </w:p>
        </w:tc>
        <w:tc>
          <w:tcPr>
            <w:tcW w:w="0" w:type="dxa"/>
            <w:vAlign w:val="bottom"/>
          </w:tcPr>
          <w:p>
            <w:pPr>
              <w:spacing w:after="0"/>
              <w:rPr>
                <w:sz w:val="1"/>
                <w:szCs w:val="1"/>
                <w:color w:val="auto"/>
              </w:rPr>
            </w:pPr>
          </w:p>
        </w:tc>
      </w:tr>
      <w:tr>
        <w:trPr>
          <w:trHeight w:val="230"/>
        </w:trPr>
        <w:tc>
          <w:tcPr>
            <w:tcW w:w="5360" w:type="dxa"/>
            <w:vAlign w:val="bottom"/>
          </w:tcPr>
          <w:p>
            <w:pPr>
              <w:ind w:left="480"/>
              <w:spacing w:after="0"/>
              <w:rPr>
                <w:sz w:val="20"/>
                <w:szCs w:val="20"/>
                <w:color w:val="auto"/>
              </w:rPr>
            </w:pPr>
            <w:r>
              <w:rPr>
                <w:rFonts w:ascii="Calibri" w:cs="Calibri" w:eastAsia="Calibri" w:hAnsi="Calibri"/>
                <w:sz w:val="18"/>
                <w:szCs w:val="18"/>
                <w:color w:val="auto"/>
              </w:rPr>
              <w:t>Litgaton maters</w:t>
            </w:r>
          </w:p>
        </w:tc>
        <w:tc>
          <w:tcPr>
            <w:tcW w:w="3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(307)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480"/>
              <w:spacing w:after="0"/>
              <w:rPr>
                <w:sz w:val="20"/>
                <w:szCs w:val="20"/>
                <w:color w:val="auto"/>
              </w:rPr>
            </w:pPr>
            <w:r>
              <w:rPr>
                <w:rFonts w:ascii="Calibri" w:cs="Calibri" w:eastAsia="Calibri" w:hAnsi="Calibri"/>
                <w:sz w:val="18"/>
                <w:szCs w:val="18"/>
                <w:color w:val="auto"/>
              </w:rPr>
              <w:t>Other</w:t>
            </w: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Calibri" w:cs="Calibri" w:eastAsia="Calibri" w:hAnsi="Calibri"/>
                <w:sz w:val="18"/>
                <w:szCs w:val="18"/>
                <w:color w:val="auto"/>
              </w:rPr>
              <w:t>(88)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(300)</w:t>
            </w:r>
          </w:p>
        </w:tc>
        <w:tc>
          <w:tcPr>
            <w:tcW w:w="6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Calibri" w:cs="Calibri" w:eastAsia="Calibri" w:hAnsi="Calibri"/>
                <w:sz w:val="18"/>
                <w:szCs w:val="18"/>
                <w:color w:val="auto"/>
              </w:rPr>
              <w:t>68</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Calibri" w:cs="Calibri" w:eastAsia="Calibri" w:hAnsi="Calibri"/>
                <w:sz w:val="18"/>
                <w:szCs w:val="18"/>
                <w:b w:val="1"/>
                <w:bCs w:val="1"/>
                <w:color w:val="auto"/>
              </w:rPr>
              <w:t>As adjusted (non-GAAP)</w:t>
            </w: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82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9,425</w:t>
            </w: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7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11,964</w:t>
            </w:r>
          </w:p>
        </w:tc>
        <w:tc>
          <w:tcPr>
            <w:tcW w:w="3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6,518</w:t>
            </w:r>
          </w:p>
        </w:tc>
        <w:tc>
          <w:tcPr>
            <w:tcW w:w="64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500</w:t>
            </w:r>
          </w:p>
        </w:tc>
        <w:tc>
          <w:tcPr>
            <w:tcW w:w="500" w:type="dxa"/>
            <w:vAlign w:val="bottom"/>
            <w:tcBorders>
              <w:bottom w:val="single" w:sz="8" w:color="auto"/>
            </w:tcBorders>
          </w:tcPr>
          <w:p>
            <w:pPr>
              <w:ind w:left="10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480" w:type="dxa"/>
            <w:vAlign w:val="bottom"/>
            <w:gridSpan w:val="3"/>
          </w:tcPr>
          <w:p>
            <w:pPr>
              <w:spacing w:after="0"/>
              <w:rPr>
                <w:sz w:val="20"/>
                <w:szCs w:val="20"/>
                <w:color w:val="auto"/>
              </w:rPr>
            </w:pPr>
            <w:r>
              <w:rPr>
                <w:rFonts w:ascii="Calibri" w:cs="Calibri" w:eastAsia="Calibri" w:hAnsi="Calibri"/>
                <w:sz w:val="18"/>
                <w:szCs w:val="18"/>
                <w:color w:val="auto"/>
              </w:rPr>
              <w:t>3.  The adjusted tax rate for the full-year 2021 was 13.3 percent, as detailed below:</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80" w:type="dxa"/>
            <w:vAlign w:val="bottom"/>
            <w:gridSpan w:val="7"/>
          </w:tcPr>
          <w:p>
            <w:pPr>
              <w:ind w:left="360"/>
              <w:spacing w:after="0"/>
              <w:rPr>
                <w:sz w:val="20"/>
                <w:szCs w:val="20"/>
                <w:color w:val="auto"/>
              </w:rPr>
            </w:pPr>
            <w:r>
              <w:rPr>
                <w:rFonts w:ascii="Calibri" w:cs="Calibri" w:eastAsia="Calibri" w:hAnsi="Calibri"/>
                <w:sz w:val="18"/>
                <w:szCs w:val="18"/>
                <w:b w:val="1"/>
                <w:bCs w:val="1"/>
                <w:color w:val="auto"/>
                <w:w w:val="98"/>
              </w:rPr>
              <w:t>Twelve Months Ended December 31, 2021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(dollars in millions)</w:t>
            </w: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50"/>
              <w:spacing w:after="0" w:line="208" w:lineRule="exact"/>
              <w:rPr>
                <w:sz w:val="20"/>
                <w:szCs w:val="20"/>
                <w:color w:val="auto"/>
              </w:rPr>
            </w:pPr>
            <w:r>
              <w:rPr>
                <w:rFonts w:ascii="Calibri" w:cs="Calibri" w:eastAsia="Calibri" w:hAnsi="Calibri"/>
                <w:sz w:val="18"/>
                <w:szCs w:val="18"/>
                <w:color w:val="auto"/>
              </w:rPr>
              <w:t>Pre-tax earnings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30"/>
              <w:spacing w:after="0" w:line="208" w:lineRule="exact"/>
              <w:rPr>
                <w:sz w:val="20"/>
                <w:szCs w:val="20"/>
                <w:color w:val="auto"/>
              </w:rPr>
            </w:pPr>
            <w:r>
              <w:rPr>
                <w:rFonts w:ascii="Calibri" w:cs="Calibri" w:eastAsia="Calibri" w:hAnsi="Calibri"/>
                <w:sz w:val="18"/>
                <w:szCs w:val="18"/>
                <w:color w:val="auto"/>
                <w:w w:val="98"/>
              </w:rPr>
              <w:t>Income taxes</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line="208" w:lineRule="exact"/>
              <w:rPr>
                <w:sz w:val="20"/>
                <w:szCs w:val="20"/>
                <w:color w:val="auto"/>
              </w:rPr>
            </w:pPr>
            <w:r>
              <w:rPr>
                <w:rFonts w:ascii="Calibri" w:cs="Calibri" w:eastAsia="Calibri" w:hAnsi="Calibri"/>
                <w:sz w:val="18"/>
                <w:szCs w:val="18"/>
                <w:color w:val="auto"/>
              </w:rPr>
              <w:t>Tax rate</w:t>
            </w: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line="206" w:lineRule="exact"/>
              <w:rPr>
                <w:sz w:val="20"/>
                <w:szCs w:val="20"/>
                <w:color w:val="auto"/>
              </w:rPr>
            </w:pPr>
            <w:r>
              <w:rPr>
                <w:rFonts w:ascii="Calibri" w:cs="Calibri" w:eastAsia="Calibri" w:hAnsi="Calibri"/>
                <w:sz w:val="18"/>
                <w:szCs w:val="18"/>
                <w:b w:val="1"/>
                <w:bCs w:val="1"/>
                <w:color w:val="auto"/>
              </w:rPr>
              <w:t>As reported (GAAP)</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gridSpan w:val="2"/>
          </w:tcPr>
          <w:p>
            <w:pPr>
              <w:ind w:left="480"/>
              <w:spacing w:after="0" w:line="215" w:lineRule="exact"/>
              <w:rPr>
                <w:sz w:val="20"/>
                <w:szCs w:val="20"/>
                <w:color w:val="auto"/>
              </w:rPr>
            </w:pPr>
            <w:r>
              <w:rPr>
                <w:rFonts w:ascii="Calibri" w:cs="Calibri" w:eastAsia="Calibri" w:hAnsi="Calibri"/>
                <w:sz w:val="18"/>
                <w:szCs w:val="18"/>
                <w:b w:val="1"/>
                <w:bCs w:val="1"/>
                <w:color w:val="auto"/>
              </w:rPr>
              <w:t>12,989</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1,440</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11.1 %</w:t>
            </w:r>
          </w:p>
        </w:tc>
        <w:tc>
          <w:tcPr>
            <w:tcW w:w="0" w:type="dxa"/>
            <w:vAlign w:val="bottom"/>
          </w:tcPr>
          <w:p>
            <w:pPr>
              <w:spacing w:after="0"/>
              <w:rPr>
                <w:sz w:val="1"/>
                <w:szCs w:val="1"/>
                <w:color w:val="auto"/>
              </w:rPr>
            </w:pPr>
          </w:p>
        </w:tc>
      </w:tr>
      <w:tr>
        <w:trPr>
          <w:trHeight w:val="221"/>
        </w:trPr>
        <w:tc>
          <w:tcPr>
            <w:tcW w:w="5360" w:type="dxa"/>
            <w:vAlign w:val="bottom"/>
          </w:tcPr>
          <w:p>
            <w:pPr>
              <w:ind w:left="360"/>
              <w:spacing w:after="0"/>
              <w:rPr>
                <w:sz w:val="20"/>
                <w:szCs w:val="20"/>
                <w:color w:val="auto"/>
              </w:rPr>
            </w:pPr>
            <w:r>
              <w:rPr>
                <w:rFonts w:ascii="Calibri" w:cs="Calibri" w:eastAsia="Calibri" w:hAnsi="Calibri"/>
                <w:sz w:val="18"/>
                <w:szCs w:val="18"/>
                <w:color w:val="auto"/>
              </w:rPr>
              <w:t>Specifed items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Calibri" w:cs="Calibri" w:eastAsia="Calibri" w:hAnsi="Calibri"/>
                <w:sz w:val="18"/>
                <w:szCs w:val="18"/>
                <w:color w:val="auto"/>
              </w:rPr>
              <w:t>11,408</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1,796</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15.8 %</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Calibri" w:cs="Calibri" w:eastAsia="Calibri" w:hAnsi="Calibri"/>
                <w:sz w:val="18"/>
                <w:szCs w:val="18"/>
                <w:b w:val="1"/>
                <w:bCs w:val="1"/>
                <w:color w:val="auto"/>
              </w:rPr>
              <w:t>As adjusted (non-GAAP)</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auto"/>
            </w:tcBorders>
            <w:gridSpan w:val="2"/>
          </w:tcPr>
          <w:p>
            <w:pPr>
              <w:ind w:left="480"/>
              <w:spacing w:after="0" w:line="215" w:lineRule="exact"/>
              <w:rPr>
                <w:sz w:val="20"/>
                <w:szCs w:val="20"/>
                <w:color w:val="auto"/>
              </w:rPr>
            </w:pPr>
            <w:r>
              <w:rPr>
                <w:rFonts w:ascii="Calibri" w:cs="Calibri" w:eastAsia="Calibri" w:hAnsi="Calibri"/>
                <w:sz w:val="18"/>
                <w:szCs w:val="18"/>
                <w:b w:val="1"/>
                <w:bCs w:val="1"/>
                <w:color w:val="auto"/>
              </w:rPr>
              <w:t>24,397</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3,236</w:t>
            </w: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13.3 %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13</w:t>
      </w:r>
    </w:p>
    <w:sectPr>
      <w:pgSz w:w="11900" w:h="16838" w:orient="portrait"/>
      <w:cols w:equalWidth="0" w:num="1">
        <w:col w:w="11240"/>
      </w:cols>
      <w:pgMar w:left="320" w:top="87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a"/>
      <w:numFmt w:val="bullet"/>
      <w:start w:val="1"/>
    </w:lvl>
  </w:abstractNum>
  <w:abstractNum w:abstractNumId="6">
    <w:nsid w:val="66EF438D"/>
    <w:multiLevelType w:val="hybridMultilevel"/>
    <w:lvl w:ilvl="0">
      <w:lvlJc w:val="left"/>
      <w:lvlText w:val="b"/>
      <w:numFmt w:val="bullet"/>
      <w:start w:val="1"/>
    </w:lvl>
  </w:abstractNum>
  <w:abstractNum w:abstractNumId="7">
    <w:nsid w:val="140E0F76"/>
    <w:multiLevelType w:val="hybridMultilevel"/>
    <w:lvl w:ilvl="0">
      <w:lvlJc w:val="left"/>
      <w:lvlText w:val="a"/>
      <w:numFmt w:val="bullet"/>
      <w:start w:val="1"/>
    </w:lvl>
  </w:abstractNum>
  <w:abstractNum w:abstractNumId="8">
    <w:nsid w:val="3352255A"/>
    <w:multiLevelType w:val="hybridMultilevel"/>
    <w:lvl w:ilvl="0">
      <w:lvlJc w:val="left"/>
      <w:lvlText w:val="b"/>
      <w:numFmt w:val="bullet"/>
      <w:start w:val="1"/>
    </w:lvl>
  </w:abstractNum>
  <w:abstractNum w:abstractNumId="9">
    <w:nsid w:val="109CF92E"/>
    <w:multiLevelType w:val="hybridMultilevel"/>
    <w:lvl w:ilvl="0">
      <w:lvlJc w:val="left"/>
      <w:lvlText w:val="a"/>
      <w:numFmt w:val="bullet"/>
      <w:start w:val="1"/>
    </w:lvl>
  </w:abstractNum>
  <w:abstractNum w:abstractNumId="10">
    <w:nsid w:val="DED7263"/>
    <w:multiLevelType w:val="hybridMultilevel"/>
    <w:lvl w:ilvl="0">
      <w:lvlJc w:val="left"/>
      <w:lvlText w:val="b"/>
      <w:numFmt w:val="bullet"/>
      <w:start w:val="1"/>
    </w:lvl>
  </w:abstractNum>
  <w:abstractNum w:abstractNumId="11">
    <w:nsid w:val="7FDCC233"/>
    <w:multiLevelType w:val="hybridMultilevel"/>
    <w:lvl w:ilvl="0">
      <w:lvlJc w:val="left"/>
      <w:lvlText w:val="a"/>
      <w:numFmt w:val="bullet"/>
      <w:start w:val="1"/>
    </w:lvl>
  </w:abstractNum>
  <w:abstractNum w:abstractNumId="12">
    <w:nsid w:val="1BEFD79F"/>
    <w:multiLevelType w:val="hybridMultilevel"/>
    <w:lvl w:ilvl="0">
      <w:lvlJc w:val="left"/>
      <w:lvlText w:val="a"/>
      <w:numFmt w:val="bullet"/>
      <w:start w:val="1"/>
    </w:lvl>
  </w:abstractNum>
  <w:abstractNum w:abstractNumId="13">
    <w:nsid w:val="41A7C4C9"/>
    <w:multiLevelType w:val="hybridMultilevel"/>
    <w:lvl w:ilvl="0">
      <w:lvlJc w:val="left"/>
      <w:lvlText w:val="a"/>
      <w:numFmt w:val="bullet"/>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a"/>
      <w:numFmt w:val="bullet"/>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2023-02-09T06:57:55Z</dcterms:created>
  <dcterms:modified xsi:type="dcterms:W3CDTF">2023-02-09T06:57:55Z</dcterms:modified>
</cp:coreProperties>
</file>