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SECURITIES AND EXCHANGE COMMISSION</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4" w:lineRule="exact"/>
        <w:rPr>
          <w:sz w:val="24"/>
          <w:szCs w:val="24"/>
          <w:color w:val="auto"/>
        </w:rPr>
      </w:pPr>
    </w:p>
    <w:p>
      <w:pPr>
        <w:ind w:left="3260"/>
        <w:spacing w:after="0"/>
        <w:rPr>
          <w:sz w:val="20"/>
          <w:szCs w:val="20"/>
          <w:color w:val="auto"/>
        </w:rPr>
      </w:pPr>
      <w:r>
        <w:rPr>
          <w:rFonts w:ascii="Arial" w:cs="Arial" w:eastAsia="Arial" w:hAnsi="Arial"/>
          <w:sz w:val="17"/>
          <w:szCs w:val="17"/>
          <w:color w:val="auto"/>
        </w:rPr>
        <w:t>_____________________________________________________</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Secton 13 or 15(d)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27, 2023</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ABBVIE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specifed in its charter)</w:t>
      </w:r>
    </w:p>
    <w:p>
      <w:pPr>
        <w:sectPr>
          <w:pgSz w:w="11900" w:h="16838" w:orient="portrait"/>
          <w:cols w:equalWidth="0" w:num="1">
            <w:col w:w="11220"/>
          </w:cols>
          <w:pgMar w:left="320" w:top="1160" w:right="359" w:bottom="1440" w:gutter="0" w:footer="0" w:header="0"/>
        </w:sectPr>
      </w:pPr>
    </w:p>
    <w:p>
      <w:pPr>
        <w:spacing w:after="0" w:line="48" w:lineRule="exact"/>
        <w:rPr>
          <w:sz w:val="24"/>
          <w:szCs w:val="24"/>
          <w:color w:val="auto"/>
        </w:rPr>
      </w:pPr>
    </w:p>
    <w:p>
      <w:pPr>
        <w:ind w:left="13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001-35565</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32-0375147</w:t>
      </w:r>
    </w:p>
    <w:p>
      <w:pPr>
        <w:spacing w:after="0" w:line="48" w:lineRule="exact"/>
        <w:rPr>
          <w:sz w:val="24"/>
          <w:szCs w:val="24"/>
          <w:color w:val="auto"/>
        </w:rPr>
      </w:pPr>
    </w:p>
    <w:p>
      <w:pPr>
        <w:sectPr>
          <w:pgSz w:w="11900" w:h="16838" w:orient="portrait"/>
          <w:cols w:equalWidth="0" w:num="3">
            <w:col w:w="4480" w:space="720"/>
            <w:col w:w="3120" w:space="720"/>
            <w:col w:w="2180"/>
          </w:cols>
          <w:pgMar w:left="320" w:top="1160" w:right="359" w:bottom="1440" w:gutter="0" w:footer="0" w:header="0"/>
          <w:type w:val="continuous"/>
        </w:sectPr>
      </w:pPr>
    </w:p>
    <w:p>
      <w:pPr>
        <w:jc w:val="center"/>
        <w:ind w:right="440"/>
        <w:spacing w:after="0"/>
        <w:rPr>
          <w:sz w:val="20"/>
          <w:szCs w:val="20"/>
          <w:color w:val="auto"/>
        </w:rPr>
      </w:pPr>
      <w:r>
        <w:rPr>
          <w:rFonts w:ascii="Arial" w:cs="Arial" w:eastAsia="Arial" w:hAnsi="Arial"/>
          <w:sz w:val="16"/>
          <w:szCs w:val="16"/>
          <w:color w:val="auto"/>
        </w:rPr>
        <w:t>(State or other Jurisdicton</w:t>
      </w:r>
    </w:p>
    <w:p>
      <w:pPr>
        <w:spacing w:after="0" w:line="46"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of Incorporaton)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Identfcaton No.)</w:t>
      </w:r>
    </w:p>
    <w:p>
      <w:pPr>
        <w:spacing w:after="0" w:line="90" w:lineRule="exact"/>
        <w:rPr>
          <w:sz w:val="24"/>
          <w:szCs w:val="24"/>
          <w:color w:val="auto"/>
        </w:rPr>
      </w:pPr>
    </w:p>
    <w:p>
      <w:pPr>
        <w:sectPr>
          <w:pgSz w:w="11900" w:h="16838" w:orient="portrait"/>
          <w:cols w:equalWidth="0" w:num="3">
            <w:col w:w="3900" w:space="720"/>
            <w:col w:w="3480" w:space="720"/>
            <w:col w:w="2400"/>
          </w:cols>
          <w:pgMar w:left="320" w:top="1160" w:right="35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_____________________________________________________</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 North Waukegan Road</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executve ofces)(Zip Code)</w:t>
      </w:r>
    </w:p>
    <w:p>
      <w:pPr>
        <w:sectPr>
          <w:pgSz w:w="11900" w:h="16838" w:orient="portrait"/>
          <w:cols w:equalWidth="0" w:num="1">
            <w:col w:w="11220"/>
          </w:cols>
          <w:pgMar w:left="320" w:top="1160" w:right="359" w:bottom="1440" w:gutter="0" w:footer="0" w:header="0"/>
          <w:type w:val="continuous"/>
        </w:sectPr>
      </w:pPr>
    </w:p>
    <w:p>
      <w:pPr>
        <w:spacing w:after="0" w:line="131" w:lineRule="exact"/>
        <w:rPr>
          <w:sz w:val="24"/>
          <w:szCs w:val="24"/>
          <w:color w:val="auto"/>
        </w:rPr>
      </w:pPr>
    </w:p>
    <w:p>
      <w:pPr>
        <w:ind w:left="312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(847) 932-7900</w:t>
      </w:r>
    </w:p>
    <w:p>
      <w:pPr>
        <w:spacing w:after="0" w:line="156" w:lineRule="exact"/>
        <w:rPr>
          <w:sz w:val="24"/>
          <w:szCs w:val="24"/>
          <w:color w:val="auto"/>
        </w:rPr>
      </w:pPr>
    </w:p>
    <w:p>
      <w:pPr>
        <w:sectPr>
          <w:pgSz w:w="11900" w:h="16838" w:orient="portrait"/>
          <w:cols w:equalWidth="0" w:num="2">
            <w:col w:w="6920" w:space="80"/>
            <w:col w:w="4220"/>
          </w:cols>
          <w:pgMar w:left="320" w:top="1160" w:right="359" w:bottom="1440" w:gutter="0" w:footer="0" w:header="0"/>
          <w:type w:val="continuous"/>
        </w:sectPr>
      </w:pPr>
    </w:p>
    <w:p>
      <w:pPr>
        <w:ind w:right="660"/>
        <w:spacing w:after="0" w:line="273" w:lineRule="auto"/>
        <w:rPr>
          <w:sz w:val="20"/>
          <w:szCs w:val="20"/>
          <w:color w:val="auto"/>
        </w:rPr>
      </w:pPr>
      <w:r>
        <w:rPr>
          <w:rFonts w:ascii="Arial" w:cs="Arial" w:eastAsia="Arial" w:hAnsi="Arial"/>
          <w:sz w:val="18"/>
          <w:szCs w:val="18"/>
          <w:color w:val="auto"/>
        </w:rPr>
        <w:t>Check the appropriate box below if the Form 8-K fling is intended to simultaneously satsfy the fling obligaton of the registrant under any of the following provisions:</w:t>
      </w:r>
    </w:p>
    <w:p>
      <w:pPr>
        <w:spacing w:after="0" w:line="15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Writen communicatons pursuant to Rule 425 under the Securites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communicatons pursuant to Rule 14d-2(b) under the Exchange Act (17 CFR 240.14d-2(b))</w:t>
      </w:r>
    </w:p>
    <w:p>
      <w:pPr>
        <w:spacing w:after="0" w:line="130" w:lineRule="exact"/>
        <w:rPr>
          <w:rFonts w:ascii="MS PGothic" w:cs="MS PGothic" w:eastAsia="MS PGothic" w:hAnsi="MS PGothic"/>
          <w:sz w:val="18"/>
          <w:szCs w:val="18"/>
          <w:color w:val="auto"/>
        </w:rPr>
      </w:pPr>
    </w:p>
    <w:p>
      <w:pPr>
        <w:ind w:left="3540" w:right="2740" w:hanging="3532"/>
        <w:spacing w:after="0" w:line="442" w:lineRule="auto"/>
        <w:tabs>
          <w:tab w:leader="none" w:pos="4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communicatons pursuant to Rule 13e-4(c) under the Exchange Act (17 CFR 240.13e-4(c)) Securites registered pursuant to Secton 12(b) of the Act:</w:t>
      </w:r>
    </w:p>
    <w:p>
      <w:pPr>
        <w:spacing w:after="0" w:line="1" w:lineRule="exact"/>
        <w:rPr>
          <w:sz w:val="24"/>
          <w:szCs w:val="24"/>
          <w:color w:val="auto"/>
        </w:rPr>
      </w:pPr>
    </w:p>
    <w:tbl>
      <w:tblPr>
        <w:tblLayout w:type="fixed"/>
        <w:tblInd w:w="60" w:type="dxa"/>
        <w:tblCellMar>
          <w:top w:w="0" w:type="dxa"/>
          <w:left w:w="0" w:type="dxa"/>
          <w:bottom w:w="0" w:type="dxa"/>
          <w:right w:w="0" w:type="dxa"/>
        </w:tblCellMar>
      </w:tblPr>
      <w:tr>
        <w:trPr>
          <w:trHeight w:val="206"/>
        </w:trPr>
        <w:tc>
          <w:tcPr>
            <w:tcW w:w="36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Title of each class</w:t>
            </w:r>
          </w:p>
        </w:tc>
        <w:tc>
          <w:tcPr>
            <w:tcW w:w="3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Trading Symbol(s)</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c>
          <w:tcPr>
            <w:tcW w:w="0" w:type="dxa"/>
            <w:vAlign w:val="bottom"/>
          </w:tcPr>
          <w:p>
            <w:pPr>
              <w:spacing w:after="0"/>
              <w:rPr>
                <w:sz w:val="1"/>
                <w:szCs w:val="1"/>
                <w:color w:val="auto"/>
              </w:rPr>
            </w:pPr>
          </w:p>
        </w:tc>
      </w:tr>
      <w:tr>
        <w:trPr>
          <w:trHeight w:val="25"/>
        </w:trPr>
        <w:tc>
          <w:tcPr>
            <w:tcW w:w="344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440" w:type="dxa"/>
            <w:vAlign w:val="bottom"/>
          </w:tcPr>
          <w:p>
            <w:pPr>
              <w:jc w:val="center"/>
              <w:spacing w:after="0"/>
              <w:rPr>
                <w:sz w:val="20"/>
                <w:szCs w:val="20"/>
                <w:color w:val="auto"/>
              </w:rPr>
            </w:pPr>
            <w:r>
              <w:rPr>
                <w:rFonts w:ascii="Arial" w:cs="Arial" w:eastAsia="Arial" w:hAnsi="Arial"/>
                <w:sz w:val="16"/>
                <w:szCs w:val="16"/>
                <w:color w:val="auto"/>
                <w:w w:val="90"/>
              </w:rPr>
              <w:t>Common Stock, $0.01 Par Value</w:t>
            </w:r>
          </w:p>
        </w:tc>
        <w:tc>
          <w:tcPr>
            <w:tcW w:w="240" w:type="dxa"/>
            <w:vAlign w:val="bottom"/>
            <w:vMerge w:val="continue"/>
          </w:tcPr>
          <w:p>
            <w:pPr>
              <w:spacing w:after="0"/>
              <w:rPr>
                <w:sz w:val="16"/>
                <w:szCs w:val="16"/>
                <w:color w:val="auto"/>
              </w:rPr>
            </w:pPr>
          </w:p>
        </w:tc>
        <w:tc>
          <w:tcPr>
            <w:tcW w:w="3440" w:type="dxa"/>
            <w:vAlign w:val="bottom"/>
          </w:tcPr>
          <w:p>
            <w:pPr>
              <w:jc w:val="center"/>
              <w:spacing w:after="0"/>
              <w:rPr>
                <w:sz w:val="20"/>
                <w:szCs w:val="20"/>
                <w:color w:val="auto"/>
              </w:rPr>
            </w:pPr>
            <w:r>
              <w:rPr>
                <w:rFonts w:ascii="Arial" w:cs="Arial" w:eastAsia="Arial" w:hAnsi="Arial"/>
                <w:sz w:val="16"/>
                <w:szCs w:val="16"/>
                <w:color w:val="auto"/>
                <w:w w:val="84"/>
              </w:rPr>
              <w:t>ABBV</w:t>
            </w:r>
          </w:p>
        </w:tc>
        <w:tc>
          <w:tcPr>
            <w:tcW w:w="260" w:type="dxa"/>
            <w:vAlign w:val="bottom"/>
            <w:vMerge w:val="continue"/>
          </w:tcPr>
          <w:p>
            <w:pPr>
              <w:spacing w:after="0"/>
              <w:rPr>
                <w:sz w:val="16"/>
                <w:szCs w:val="16"/>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87"/>
              </w:rPr>
              <w:t>New York Stock Exchange</w:t>
            </w:r>
          </w:p>
        </w:tc>
        <w:tc>
          <w:tcPr>
            <w:tcW w:w="0" w:type="dxa"/>
            <w:vAlign w:val="bottom"/>
          </w:tcPr>
          <w:p>
            <w:pPr>
              <w:spacing w:after="0"/>
              <w:rPr>
                <w:sz w:val="1"/>
                <w:szCs w:val="1"/>
                <w:color w:val="auto"/>
              </w:rPr>
            </w:pPr>
          </w:p>
        </w:tc>
      </w:tr>
      <w:tr>
        <w:trPr>
          <w:trHeight w:val="204"/>
        </w:trPr>
        <w:tc>
          <w:tcPr>
            <w:tcW w:w="3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87"/>
              </w:rPr>
              <w:t>Chicago Stock Exchange</w:t>
            </w:r>
          </w:p>
        </w:tc>
        <w:tc>
          <w:tcPr>
            <w:tcW w:w="0" w:type="dxa"/>
            <w:vAlign w:val="bottom"/>
          </w:tcPr>
          <w:p>
            <w:pPr>
              <w:spacing w:after="0"/>
              <w:rPr>
                <w:sz w:val="1"/>
                <w:szCs w:val="1"/>
                <w:color w:val="auto"/>
              </w:rPr>
            </w:pP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1.500% Senior Notes due 2023</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w w:val="87"/>
              </w:rPr>
              <w:t>ABBV23B</w:t>
            </w:r>
          </w:p>
        </w:tc>
        <w:tc>
          <w:tcPr>
            <w:tcW w:w="3760" w:type="dxa"/>
            <w:vAlign w:val="bottom"/>
          </w:tcPr>
          <w:p>
            <w:pPr>
              <w:jc w:val="center"/>
              <w:spacing w:after="0"/>
              <w:rPr>
                <w:sz w:val="20"/>
                <w:szCs w:val="20"/>
                <w:color w:val="auto"/>
              </w:rPr>
            </w:pPr>
            <w:r>
              <w:rPr>
                <w:rFonts w:ascii="Arial" w:cs="Arial" w:eastAsia="Arial" w:hAnsi="Arial"/>
                <w:sz w:val="16"/>
                <w:szCs w:val="16"/>
                <w:color w:val="auto"/>
                <w:w w:val="87"/>
              </w:rPr>
              <w:t>New York Stock Exchange</w:t>
            </w:r>
          </w:p>
        </w:tc>
        <w:tc>
          <w:tcPr>
            <w:tcW w:w="0" w:type="dxa"/>
            <w:vAlign w:val="bottom"/>
          </w:tcPr>
          <w:p>
            <w:pPr>
              <w:spacing w:after="0"/>
              <w:rPr>
                <w:sz w:val="1"/>
                <w:szCs w:val="1"/>
                <w:color w:val="auto"/>
              </w:rPr>
            </w:pP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1.375% Senior Notes due 2024</w:t>
            </w:r>
          </w:p>
        </w:tc>
        <w:tc>
          <w:tcPr>
            <w:tcW w:w="3700" w:type="dxa"/>
            <w:vAlign w:val="bottom"/>
            <w:gridSpan w:val="2"/>
          </w:tcPr>
          <w:p>
            <w:pPr>
              <w:jc w:val="center"/>
              <w:ind w:right="260"/>
              <w:spacing w:after="0"/>
              <w:rPr>
                <w:sz w:val="20"/>
                <w:szCs w:val="20"/>
                <w:color w:val="auto"/>
              </w:rPr>
            </w:pPr>
            <w:r>
              <w:rPr>
                <w:rFonts w:ascii="Arial" w:cs="Arial" w:eastAsia="Arial" w:hAnsi="Arial"/>
                <w:sz w:val="16"/>
                <w:szCs w:val="16"/>
                <w:color w:val="auto"/>
                <w:w w:val="85"/>
              </w:rPr>
              <w:t>ABBV24</w:t>
            </w:r>
          </w:p>
        </w:tc>
        <w:tc>
          <w:tcPr>
            <w:tcW w:w="3760" w:type="dxa"/>
            <w:vAlign w:val="bottom"/>
          </w:tcPr>
          <w:p>
            <w:pPr>
              <w:jc w:val="center"/>
              <w:spacing w:after="0"/>
              <w:rPr>
                <w:sz w:val="20"/>
                <w:szCs w:val="20"/>
                <w:color w:val="auto"/>
              </w:rPr>
            </w:pPr>
            <w:r>
              <w:rPr>
                <w:rFonts w:ascii="Arial" w:cs="Arial" w:eastAsia="Arial" w:hAnsi="Arial"/>
                <w:sz w:val="16"/>
                <w:szCs w:val="16"/>
                <w:color w:val="auto"/>
                <w:w w:val="87"/>
              </w:rPr>
              <w:t>New York Stock Exchange</w:t>
            </w:r>
          </w:p>
        </w:tc>
        <w:tc>
          <w:tcPr>
            <w:tcW w:w="0" w:type="dxa"/>
            <w:vAlign w:val="bottom"/>
          </w:tcPr>
          <w:p>
            <w:pPr>
              <w:spacing w:after="0"/>
              <w:rPr>
                <w:sz w:val="1"/>
                <w:szCs w:val="1"/>
                <w:color w:val="auto"/>
              </w:rPr>
            </w:pP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1.250% Senior Notes due 2024</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w w:val="87"/>
              </w:rPr>
              <w:t>ABBV24B</w:t>
            </w:r>
          </w:p>
        </w:tc>
        <w:tc>
          <w:tcPr>
            <w:tcW w:w="3760" w:type="dxa"/>
            <w:vAlign w:val="bottom"/>
          </w:tcPr>
          <w:p>
            <w:pPr>
              <w:jc w:val="center"/>
              <w:spacing w:after="0"/>
              <w:rPr>
                <w:sz w:val="20"/>
                <w:szCs w:val="20"/>
                <w:color w:val="auto"/>
              </w:rPr>
            </w:pPr>
            <w:r>
              <w:rPr>
                <w:rFonts w:ascii="Arial" w:cs="Arial" w:eastAsia="Arial" w:hAnsi="Arial"/>
                <w:sz w:val="16"/>
                <w:szCs w:val="16"/>
                <w:color w:val="auto"/>
                <w:w w:val="87"/>
              </w:rPr>
              <w:t>New York Stock Exchange</w:t>
            </w:r>
          </w:p>
        </w:tc>
        <w:tc>
          <w:tcPr>
            <w:tcW w:w="0" w:type="dxa"/>
            <w:vAlign w:val="bottom"/>
          </w:tcPr>
          <w:p>
            <w:pPr>
              <w:spacing w:after="0"/>
              <w:rPr>
                <w:sz w:val="1"/>
                <w:szCs w:val="1"/>
                <w:color w:val="auto"/>
              </w:rPr>
            </w:pP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0.750% Senior Notes due 2027</w:t>
            </w:r>
          </w:p>
        </w:tc>
        <w:tc>
          <w:tcPr>
            <w:tcW w:w="3700" w:type="dxa"/>
            <w:vAlign w:val="bottom"/>
            <w:gridSpan w:val="2"/>
          </w:tcPr>
          <w:p>
            <w:pPr>
              <w:jc w:val="center"/>
              <w:ind w:right="260"/>
              <w:spacing w:after="0"/>
              <w:rPr>
                <w:sz w:val="20"/>
                <w:szCs w:val="20"/>
                <w:color w:val="auto"/>
              </w:rPr>
            </w:pPr>
            <w:r>
              <w:rPr>
                <w:rFonts w:ascii="Arial" w:cs="Arial" w:eastAsia="Arial" w:hAnsi="Arial"/>
                <w:sz w:val="16"/>
                <w:szCs w:val="16"/>
                <w:color w:val="auto"/>
                <w:w w:val="85"/>
              </w:rPr>
              <w:t>ABBV27</w:t>
            </w:r>
          </w:p>
        </w:tc>
        <w:tc>
          <w:tcPr>
            <w:tcW w:w="3760" w:type="dxa"/>
            <w:vAlign w:val="bottom"/>
          </w:tcPr>
          <w:p>
            <w:pPr>
              <w:jc w:val="center"/>
              <w:spacing w:after="0"/>
              <w:rPr>
                <w:sz w:val="20"/>
                <w:szCs w:val="20"/>
                <w:color w:val="auto"/>
              </w:rPr>
            </w:pPr>
            <w:r>
              <w:rPr>
                <w:rFonts w:ascii="Arial" w:cs="Arial" w:eastAsia="Arial" w:hAnsi="Arial"/>
                <w:sz w:val="16"/>
                <w:szCs w:val="16"/>
                <w:color w:val="auto"/>
                <w:w w:val="87"/>
              </w:rPr>
              <w:t>New York Stock Exchange</w:t>
            </w:r>
          </w:p>
        </w:tc>
        <w:tc>
          <w:tcPr>
            <w:tcW w:w="0" w:type="dxa"/>
            <w:vAlign w:val="bottom"/>
          </w:tcPr>
          <w:p>
            <w:pPr>
              <w:spacing w:after="0"/>
              <w:rPr>
                <w:sz w:val="1"/>
                <w:szCs w:val="1"/>
                <w:color w:val="auto"/>
              </w:rPr>
            </w:pP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2.125% Senior Notes due 2028</w:t>
            </w:r>
          </w:p>
        </w:tc>
        <w:tc>
          <w:tcPr>
            <w:tcW w:w="3700" w:type="dxa"/>
            <w:vAlign w:val="bottom"/>
            <w:gridSpan w:val="2"/>
          </w:tcPr>
          <w:p>
            <w:pPr>
              <w:jc w:val="center"/>
              <w:ind w:right="260"/>
              <w:spacing w:after="0"/>
              <w:rPr>
                <w:sz w:val="20"/>
                <w:szCs w:val="20"/>
                <w:color w:val="auto"/>
              </w:rPr>
            </w:pPr>
            <w:r>
              <w:rPr>
                <w:rFonts w:ascii="Arial" w:cs="Arial" w:eastAsia="Arial" w:hAnsi="Arial"/>
                <w:sz w:val="16"/>
                <w:szCs w:val="16"/>
                <w:color w:val="auto"/>
                <w:w w:val="85"/>
              </w:rPr>
              <w:t>ABBV28</w:t>
            </w:r>
          </w:p>
        </w:tc>
        <w:tc>
          <w:tcPr>
            <w:tcW w:w="3760" w:type="dxa"/>
            <w:vAlign w:val="bottom"/>
          </w:tcPr>
          <w:p>
            <w:pPr>
              <w:jc w:val="center"/>
              <w:spacing w:after="0"/>
              <w:rPr>
                <w:sz w:val="20"/>
                <w:szCs w:val="20"/>
                <w:color w:val="auto"/>
              </w:rPr>
            </w:pPr>
            <w:r>
              <w:rPr>
                <w:rFonts w:ascii="Arial" w:cs="Arial" w:eastAsia="Arial" w:hAnsi="Arial"/>
                <w:sz w:val="16"/>
                <w:szCs w:val="16"/>
                <w:color w:val="auto"/>
                <w:w w:val="87"/>
              </w:rPr>
              <w:t>New York Stock Exchange</w:t>
            </w:r>
          </w:p>
        </w:tc>
        <w:tc>
          <w:tcPr>
            <w:tcW w:w="0" w:type="dxa"/>
            <w:vAlign w:val="bottom"/>
          </w:tcPr>
          <w:p>
            <w:pPr>
              <w:spacing w:after="0"/>
              <w:rPr>
                <w:sz w:val="1"/>
                <w:szCs w:val="1"/>
                <w:color w:val="auto"/>
              </w:rPr>
            </w:pP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2.625% Senior Notes due 2028</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w w:val="87"/>
              </w:rPr>
              <w:t>ABBV28B</w:t>
            </w:r>
          </w:p>
        </w:tc>
        <w:tc>
          <w:tcPr>
            <w:tcW w:w="3760" w:type="dxa"/>
            <w:vAlign w:val="bottom"/>
          </w:tcPr>
          <w:p>
            <w:pPr>
              <w:jc w:val="center"/>
              <w:spacing w:after="0"/>
              <w:rPr>
                <w:sz w:val="20"/>
                <w:szCs w:val="20"/>
                <w:color w:val="auto"/>
              </w:rPr>
            </w:pPr>
            <w:r>
              <w:rPr>
                <w:rFonts w:ascii="Arial" w:cs="Arial" w:eastAsia="Arial" w:hAnsi="Arial"/>
                <w:sz w:val="16"/>
                <w:szCs w:val="16"/>
                <w:color w:val="auto"/>
                <w:w w:val="87"/>
              </w:rPr>
              <w:t>New York Stock Exchange</w:t>
            </w:r>
          </w:p>
        </w:tc>
        <w:tc>
          <w:tcPr>
            <w:tcW w:w="0" w:type="dxa"/>
            <w:vAlign w:val="bottom"/>
          </w:tcPr>
          <w:p>
            <w:pPr>
              <w:spacing w:after="0"/>
              <w:rPr>
                <w:sz w:val="1"/>
                <w:szCs w:val="1"/>
                <w:color w:val="auto"/>
              </w:rPr>
            </w:pP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2.125% Senior Notes due 2029</w:t>
            </w:r>
          </w:p>
        </w:tc>
        <w:tc>
          <w:tcPr>
            <w:tcW w:w="3700" w:type="dxa"/>
            <w:vAlign w:val="bottom"/>
            <w:gridSpan w:val="2"/>
          </w:tcPr>
          <w:p>
            <w:pPr>
              <w:jc w:val="center"/>
              <w:ind w:right="260"/>
              <w:spacing w:after="0"/>
              <w:rPr>
                <w:sz w:val="20"/>
                <w:szCs w:val="20"/>
                <w:color w:val="auto"/>
              </w:rPr>
            </w:pPr>
            <w:r>
              <w:rPr>
                <w:rFonts w:ascii="Arial" w:cs="Arial" w:eastAsia="Arial" w:hAnsi="Arial"/>
                <w:sz w:val="16"/>
                <w:szCs w:val="16"/>
                <w:color w:val="auto"/>
                <w:w w:val="85"/>
              </w:rPr>
              <w:t>ABBV29</w:t>
            </w:r>
          </w:p>
        </w:tc>
        <w:tc>
          <w:tcPr>
            <w:tcW w:w="3760" w:type="dxa"/>
            <w:vAlign w:val="bottom"/>
          </w:tcPr>
          <w:p>
            <w:pPr>
              <w:jc w:val="center"/>
              <w:spacing w:after="0"/>
              <w:rPr>
                <w:sz w:val="20"/>
                <w:szCs w:val="20"/>
                <w:color w:val="auto"/>
              </w:rPr>
            </w:pPr>
            <w:r>
              <w:rPr>
                <w:rFonts w:ascii="Arial" w:cs="Arial" w:eastAsia="Arial" w:hAnsi="Arial"/>
                <w:sz w:val="16"/>
                <w:szCs w:val="16"/>
                <w:color w:val="auto"/>
                <w:w w:val="87"/>
              </w:rPr>
              <w:t>New York Stock Exchange</w:t>
            </w:r>
          </w:p>
        </w:tc>
        <w:tc>
          <w:tcPr>
            <w:tcW w:w="0" w:type="dxa"/>
            <w:vAlign w:val="bottom"/>
          </w:tcPr>
          <w:p>
            <w:pPr>
              <w:spacing w:after="0"/>
              <w:rPr>
                <w:sz w:val="1"/>
                <w:szCs w:val="1"/>
                <w:color w:val="auto"/>
              </w:rPr>
            </w:pP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1.250% Senior Notes due 2031</w:t>
            </w:r>
          </w:p>
        </w:tc>
        <w:tc>
          <w:tcPr>
            <w:tcW w:w="3700" w:type="dxa"/>
            <w:vAlign w:val="bottom"/>
            <w:gridSpan w:val="2"/>
          </w:tcPr>
          <w:p>
            <w:pPr>
              <w:jc w:val="center"/>
              <w:ind w:right="260"/>
              <w:spacing w:after="0"/>
              <w:rPr>
                <w:sz w:val="20"/>
                <w:szCs w:val="20"/>
                <w:color w:val="auto"/>
              </w:rPr>
            </w:pPr>
            <w:r>
              <w:rPr>
                <w:rFonts w:ascii="Arial" w:cs="Arial" w:eastAsia="Arial" w:hAnsi="Arial"/>
                <w:sz w:val="16"/>
                <w:szCs w:val="16"/>
                <w:color w:val="auto"/>
                <w:w w:val="85"/>
              </w:rPr>
              <w:t>ABBV31</w:t>
            </w:r>
          </w:p>
        </w:tc>
        <w:tc>
          <w:tcPr>
            <w:tcW w:w="3760" w:type="dxa"/>
            <w:vAlign w:val="bottom"/>
          </w:tcPr>
          <w:p>
            <w:pPr>
              <w:jc w:val="center"/>
              <w:spacing w:after="0"/>
              <w:rPr>
                <w:sz w:val="20"/>
                <w:szCs w:val="20"/>
                <w:color w:val="auto"/>
              </w:rPr>
            </w:pPr>
            <w:r>
              <w:rPr>
                <w:rFonts w:ascii="Arial" w:cs="Arial" w:eastAsia="Arial" w:hAnsi="Arial"/>
                <w:sz w:val="16"/>
                <w:szCs w:val="16"/>
                <w:color w:val="auto"/>
                <w:w w:val="87"/>
              </w:rPr>
              <w:t>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460"/>
        <w:spacing w:after="0" w:line="273" w:lineRule="auto"/>
        <w:rPr>
          <w:sz w:val="20"/>
          <w:szCs w:val="20"/>
          <w:color w:val="auto"/>
        </w:rPr>
      </w:pPr>
      <w:r>
        <w:rPr>
          <w:rFonts w:ascii="Arial" w:cs="Arial" w:eastAsia="Arial" w:hAnsi="Arial"/>
          <w:sz w:val="18"/>
          <w:szCs w:val="18"/>
          <w:color w:val="auto"/>
        </w:rPr>
        <w:t>Indicate by check mark whether the registrant is an emerging growth company as defned in Rule 405 of the Securites Act of 1933 (§230.405 of this chapter) or Rule 12b-2 of the Securites Exchange Act of 1934 (§240.12b-2 of this chapter).</w:t>
      </w:r>
    </w:p>
    <w:p>
      <w:pPr>
        <w:spacing w:after="0" w:line="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4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160"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Operatons and Financial Conditon</w:t>
      </w:r>
    </w:p>
    <w:p>
      <w:pPr>
        <w:spacing w:after="0" w:line="243" w:lineRule="exact"/>
        <w:rPr>
          <w:sz w:val="20"/>
          <w:szCs w:val="20"/>
          <w:color w:val="auto"/>
        </w:rPr>
      </w:pPr>
    </w:p>
    <w:p>
      <w:pPr>
        <w:ind w:right="340"/>
        <w:spacing w:after="0" w:line="302" w:lineRule="auto"/>
        <w:rPr>
          <w:sz w:val="20"/>
          <w:szCs w:val="20"/>
          <w:color w:val="auto"/>
        </w:rPr>
      </w:pPr>
      <w:r>
        <w:rPr>
          <w:rFonts w:ascii="Arial" w:cs="Arial" w:eastAsia="Arial" w:hAnsi="Arial"/>
          <w:sz w:val="19"/>
          <w:szCs w:val="19"/>
          <w:color w:val="auto"/>
        </w:rPr>
        <w:t>On October 27, 2023, AbbVie Inc. issued a press release announcing fnancial results for the third quarter ended September 30, 2023. A copy of the press release is furnished as Exhibit 99.1 to this report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20" w:type="dxa"/>
            <w:vAlign w:val="bottom"/>
            <w:gridSpan w:val="2"/>
          </w:tcPr>
          <w:p>
            <w:pPr>
              <w:spacing w:after="0"/>
              <w:rPr>
                <w:sz w:val="20"/>
                <w:szCs w:val="20"/>
                <w:color w:val="auto"/>
              </w:rPr>
            </w:pPr>
            <w:r>
              <w:rPr>
                <w:rFonts w:ascii="Arial" w:cs="Arial" w:eastAsia="Arial" w:hAnsi="Arial"/>
                <w:sz w:val="20"/>
                <w:szCs w:val="20"/>
                <w:color w:val="auto"/>
              </w:rPr>
              <w:t>(d) Exhibits</w:t>
            </w:r>
          </w:p>
        </w:tc>
        <w:tc>
          <w:tcPr>
            <w:tcW w:w="9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1920" w:type="dxa"/>
            <w:vAlign w:val="bottom"/>
            <w:gridSpan w:val="2"/>
          </w:tcPr>
          <w:p>
            <w:pPr>
              <w:ind w:left="20"/>
              <w:spacing w:after="0"/>
              <w:rPr>
                <w:sz w:val="20"/>
                <w:szCs w:val="20"/>
                <w:color w:val="auto"/>
              </w:rPr>
            </w:pPr>
            <w:r>
              <w:rPr>
                <w:rFonts w:ascii="Arial" w:cs="Arial" w:eastAsia="Arial" w:hAnsi="Arial"/>
                <w:sz w:val="20"/>
                <w:szCs w:val="20"/>
                <w:b w:val="1"/>
                <w:bCs w:val="1"/>
                <w:color w:val="auto"/>
              </w:rPr>
              <w:t>Exhibit No.</w:t>
            </w:r>
          </w:p>
        </w:tc>
        <w:tc>
          <w:tcPr>
            <w:tcW w:w="9320" w:type="dxa"/>
            <w:vAlign w:val="bottom"/>
            <w:gridSpan w:val="2"/>
          </w:tcPr>
          <w:p>
            <w:pPr>
              <w:ind w:left="20"/>
              <w:spacing w:after="0"/>
              <w:rPr>
                <w:sz w:val="20"/>
                <w:szCs w:val="20"/>
                <w:color w:val="auto"/>
              </w:rPr>
            </w:pPr>
            <w:r>
              <w:rPr>
                <w:rFonts w:ascii="Arial" w:cs="Arial" w:eastAsia="Arial" w:hAnsi="Arial"/>
                <w:sz w:val="20"/>
                <w:szCs w:val="20"/>
                <w:b w:val="1"/>
                <w:bCs w:val="1"/>
                <w:color w:val="auto"/>
              </w:rPr>
              <w:t>Exhibit</w:t>
            </w:r>
          </w:p>
        </w:tc>
        <w:tc>
          <w:tcPr>
            <w:tcW w:w="0" w:type="dxa"/>
            <w:vAlign w:val="bottom"/>
          </w:tcPr>
          <w:p>
            <w:pPr>
              <w:spacing w:after="0"/>
              <w:rPr>
                <w:sz w:val="1"/>
                <w:szCs w:val="1"/>
                <w:color w:val="auto"/>
              </w:rPr>
            </w:pPr>
          </w:p>
        </w:tc>
      </w:tr>
      <w:tr>
        <w:trPr>
          <w:trHeight w:val="43"/>
        </w:trPr>
        <w:tc>
          <w:tcPr>
            <w:tcW w:w="1400" w:type="dxa"/>
            <w:vAlign w:val="bottom"/>
            <w:tcBorders>
              <w:bottom w:val="single" w:sz="8" w:color="auto"/>
            </w:tcBorders>
          </w:tcPr>
          <w:p>
            <w:pPr>
              <w:spacing w:after="0"/>
              <w:rPr>
                <w:sz w:val="3"/>
                <w:szCs w:val="3"/>
                <w:color w:val="auto"/>
              </w:rPr>
            </w:pPr>
          </w:p>
        </w:tc>
        <w:tc>
          <w:tcPr>
            <w:tcW w:w="520" w:type="dxa"/>
            <w:vAlign w:val="bottom"/>
            <w:vMerge w:val="restart"/>
          </w:tcPr>
          <w:p>
            <w:pPr>
              <w:spacing w:after="0"/>
              <w:rPr>
                <w:sz w:val="3"/>
                <w:szCs w:val="3"/>
                <w:color w:val="auto"/>
              </w:rPr>
            </w:pPr>
          </w:p>
        </w:tc>
        <w:tc>
          <w:tcPr>
            <w:tcW w:w="928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400" w:type="dxa"/>
            <w:vAlign w:val="bottom"/>
          </w:tcPr>
          <w:p>
            <w:pPr>
              <w:ind w:left="20"/>
              <w:spacing w:after="0" w:line="211" w:lineRule="exact"/>
              <w:rPr>
                <w:sz w:val="20"/>
                <w:szCs w:val="20"/>
                <w:color w:val="auto"/>
              </w:rPr>
            </w:pPr>
            <w:r>
              <w:rPr>
                <w:rFonts w:ascii="Arial" w:cs="Arial" w:eastAsia="Arial" w:hAnsi="Arial"/>
                <w:sz w:val="20"/>
                <w:szCs w:val="20"/>
                <w:color w:val="auto"/>
              </w:rPr>
              <w:t>99.1</w:t>
            </w:r>
          </w:p>
        </w:tc>
        <w:tc>
          <w:tcPr>
            <w:tcW w:w="520" w:type="dxa"/>
            <w:vAlign w:val="bottom"/>
            <w:vMerge w:val="continue"/>
          </w:tcPr>
          <w:p>
            <w:pPr>
              <w:spacing w:after="0"/>
              <w:rPr>
                <w:sz w:val="18"/>
                <w:szCs w:val="18"/>
                <w:color w:val="auto"/>
              </w:rPr>
            </w:pPr>
          </w:p>
        </w:tc>
        <w:tc>
          <w:tcPr>
            <w:tcW w:w="9280" w:type="dxa"/>
            <w:vAlign w:val="bottom"/>
          </w:tcPr>
          <w:p>
            <w:pPr>
              <w:ind w:left="20"/>
              <w:spacing w:after="0" w:line="211" w:lineRule="exact"/>
              <w:rPr>
                <w:sz w:val="20"/>
                <w:szCs w:val="20"/>
                <w:color w:val="auto"/>
              </w:rPr>
            </w:pPr>
            <w:r>
              <w:rPr>
                <w:rFonts w:ascii="Arial" w:cs="Arial" w:eastAsia="Arial" w:hAnsi="Arial"/>
                <w:sz w:val="20"/>
                <w:szCs w:val="20"/>
                <w:color w:val="auto"/>
              </w:rPr>
              <w:t>Press Release dated October 27, 2023 (furnished pursuant to Item 2.02).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00" w:type="dxa"/>
            <w:vAlign w:val="bottom"/>
          </w:tcPr>
          <w:p>
            <w:pPr>
              <w:ind w:left="20"/>
              <w:spacing w:after="0"/>
              <w:rPr>
                <w:sz w:val="20"/>
                <w:szCs w:val="20"/>
                <w:color w:val="auto"/>
              </w:rPr>
            </w:pPr>
            <w:r>
              <w:rPr>
                <w:rFonts w:ascii="Arial" w:cs="Arial" w:eastAsia="Arial" w:hAnsi="Arial"/>
                <w:sz w:val="20"/>
                <w:szCs w:val="20"/>
                <w:color w:val="auto"/>
              </w:rPr>
              <w:t>104</w:t>
            </w:r>
          </w:p>
        </w:tc>
        <w:tc>
          <w:tcPr>
            <w:tcW w:w="520" w:type="dxa"/>
            <w:vAlign w:val="bottom"/>
          </w:tcPr>
          <w:p>
            <w:pPr>
              <w:spacing w:after="0"/>
              <w:rPr>
                <w:sz w:val="21"/>
                <w:szCs w:val="21"/>
                <w:color w:val="auto"/>
              </w:rPr>
            </w:pPr>
          </w:p>
        </w:tc>
        <w:tc>
          <w:tcPr>
            <w:tcW w:w="9320" w:type="dxa"/>
            <w:vAlign w:val="bottom"/>
            <w:gridSpan w:val="2"/>
          </w:tcPr>
          <w:p>
            <w:pPr>
              <w:ind w:left="20"/>
              <w:spacing w:after="0"/>
              <w:rPr>
                <w:sz w:val="20"/>
                <w:szCs w:val="20"/>
                <w:color w:val="auto"/>
              </w:rPr>
            </w:pPr>
            <w:r>
              <w:rPr>
                <w:rFonts w:ascii="Arial" w:cs="Arial" w:eastAsia="Arial" w:hAnsi="Arial"/>
                <w:sz w:val="20"/>
                <w:szCs w:val="20"/>
                <w:color w:val="auto"/>
              </w:rPr>
              <w:t>The cover page from this Current Report on Form 8-K formated in Inline XBRL (included as Exhibit 101).</w:t>
            </w:r>
          </w:p>
        </w:tc>
        <w:tc>
          <w:tcPr>
            <w:tcW w:w="0" w:type="dxa"/>
            <w:vAlign w:val="bottom"/>
          </w:tcPr>
          <w:p>
            <w:pPr>
              <w:spacing w:after="0"/>
              <w:rPr>
                <w:sz w:val="1"/>
                <w:szCs w:val="1"/>
                <w:color w:val="auto"/>
              </w:rPr>
            </w:pPr>
          </w:p>
        </w:tc>
      </w:tr>
      <w:tr>
        <w:trPr>
          <w:trHeight w:val="1266"/>
        </w:trPr>
        <w:tc>
          <w:tcPr>
            <w:tcW w:w="1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0"/>
          <w:szCs w:val="20"/>
          <w:b w:val="1"/>
          <w:bCs w:val="1"/>
          <w:color w:val="auto"/>
        </w:rPr>
        <w:t>SIGNATURE</w:t>
      </w:r>
    </w:p>
    <w:p>
      <w:pPr>
        <w:spacing w:after="0" w:line="243"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Pursuant to the requirements of the Securites Exchange Act of 1934, the registrant has duly caused this report to be signed on its behalf by the undersigned hereunto duly authorized.</w:t>
      </w:r>
    </w:p>
    <w:p>
      <w:pPr>
        <w:spacing w:after="0" w:line="312" w:lineRule="exact"/>
        <w:rPr>
          <w:sz w:val="20"/>
          <w:szCs w:val="20"/>
          <w:color w:val="auto"/>
        </w:rPr>
      </w:pPr>
    </w:p>
    <w:p>
      <w:pPr>
        <w:ind w:left="5580"/>
        <w:spacing w:after="0"/>
        <w:rPr>
          <w:sz w:val="20"/>
          <w:szCs w:val="20"/>
          <w:color w:val="auto"/>
        </w:rPr>
      </w:pPr>
      <w:r>
        <w:rPr>
          <w:rFonts w:ascii="Arial" w:cs="Arial" w:eastAsia="Arial" w:hAnsi="Arial"/>
          <w:sz w:val="20"/>
          <w:szCs w:val="20"/>
          <w:b w:val="1"/>
          <w:bCs w:val="1"/>
          <w:color w:val="auto"/>
        </w:rPr>
        <w:t>ABBVIE INC.</w:t>
      </w:r>
    </w:p>
    <w:p>
      <w:pPr>
        <w:spacing w:after="0" w:line="283" w:lineRule="exact"/>
        <w:rPr>
          <w:sz w:val="20"/>
          <w:szCs w:val="20"/>
          <w:color w:val="auto"/>
        </w:rPr>
      </w:pPr>
    </w:p>
    <w:p>
      <w:pPr>
        <w:ind w:left="20"/>
        <w:spacing w:after="0"/>
        <w:tabs>
          <w:tab w:leader="none" w:pos="660" w:val="left"/>
          <w:tab w:leader="none" w:pos="4980" w:val="left"/>
          <w:tab w:leader="none" w:pos="5560" w:val="left"/>
        </w:tabs>
        <w:rPr>
          <w:sz w:val="20"/>
          <w:szCs w:val="20"/>
          <w:color w:val="auto"/>
        </w:rPr>
      </w:pPr>
      <w:r>
        <w:rPr>
          <w:rFonts w:ascii="Arial" w:cs="Arial" w:eastAsia="Arial" w:hAnsi="Arial"/>
          <w:sz w:val="20"/>
          <w:szCs w:val="20"/>
          <w:color w:val="auto"/>
        </w:rPr>
        <w:t>Date:</w:t>
        <w:tab/>
        <w:t>October 27, 2023</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Scot T. Reents</w:t>
      </w:r>
    </w:p>
    <w:p>
      <w:pPr>
        <w:spacing w:after="0" w:line="4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Scot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-129540</wp:posOffset>
            </wp:positionV>
            <wp:extent cx="3600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Executve Vice President,</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Chief Financial Ofcer</w:t>
      </w:r>
    </w:p>
    <w:p>
      <w:pPr>
        <w:sectPr>
          <w:pgSz w:w="11900" w:h="16838" w:orient="portrait"/>
          <w:cols w:equalWidth="0" w:num="1">
            <w:col w:w="11180"/>
          </w:cols>
          <w:pgMar w:left="320" w:top="871" w:right="3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128587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b w:val="1"/>
          <w:bCs w:val="1"/>
          <w:color w:val="071D49"/>
        </w:rPr>
        <w:t>PRESS RELEASE</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AbbVie Reports Third-Quarter 2023 Financial Results</w:t>
      </w:r>
    </w:p>
    <w:p>
      <w:pPr>
        <w:spacing w:after="0" w:line="269" w:lineRule="exact"/>
        <w:rPr>
          <w:sz w:val="20"/>
          <w:szCs w:val="20"/>
          <w:color w:val="auto"/>
        </w:rPr>
      </w:pPr>
    </w:p>
    <w:p>
      <w:pPr>
        <w:ind w:left="660" w:right="40" w:hanging="328"/>
        <w:spacing w:after="0" w:line="403" w:lineRule="auto"/>
        <w:tabs>
          <w:tab w:leader="none" w:pos="651"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Reports Third-Quarter Diluted EPS of $1.00 on a GAAP Basis, a Decrease of 54.8 Percent; Adjusted Diluted EPS of $2.95, a Decrease of 19.4 Percent; These Results Include an Unfavorable Impact of $0.04 Per Share Related to Acquired IPR&amp;D and Milestones Expense</w:t>
      </w:r>
    </w:p>
    <w:p>
      <w:pPr>
        <w:spacing w:after="0" w:line="97" w:lineRule="exact"/>
        <w:rPr>
          <w:rFonts w:ascii="Arial" w:cs="Arial" w:eastAsia="Arial" w:hAnsi="Arial"/>
          <w:sz w:val="16"/>
          <w:szCs w:val="16"/>
          <w:color w:val="auto"/>
        </w:rPr>
      </w:pPr>
    </w:p>
    <w:p>
      <w:pPr>
        <w:ind w:left="660" w:right="680" w:hanging="328"/>
        <w:spacing w:after="0" w:line="274" w:lineRule="auto"/>
        <w:tabs>
          <w:tab w:leader="none" w:pos="65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Delivers Third-Quarter Net Revenues of $13.927 Billion, a Decrease of 6.0 Percent on a Reported Basis and 5.8 Percent on an Operatonal Basis</w:t>
      </w:r>
    </w:p>
    <w:p>
      <w:pPr>
        <w:spacing w:after="0" w:line="203" w:lineRule="exact"/>
        <w:rPr>
          <w:rFonts w:ascii="Arial" w:cs="Arial" w:eastAsia="Arial" w:hAnsi="Arial"/>
          <w:sz w:val="20"/>
          <w:szCs w:val="20"/>
          <w:i w:val="1"/>
          <w:iCs w:val="1"/>
          <w:color w:val="auto"/>
        </w:rPr>
      </w:pPr>
    </w:p>
    <w:p>
      <w:pPr>
        <w:ind w:left="660" w:right="40" w:hanging="328"/>
        <w:spacing w:after="0" w:line="386" w:lineRule="auto"/>
        <w:tabs>
          <w:tab w:leader="none" w:pos="651"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Third-Quarter Global Net Revenues from the Immunology Portolio Were $6.783 Billion, a Decrease of 11.3 Percent; Global Humira Net Revenues Were $3.547 Billion; Global Skyrizi Net Revenues Were $2.126 Billion; Global Rinvoq Net Revenues Were $1.110 Billion</w:t>
      </w:r>
    </w:p>
    <w:p>
      <w:pPr>
        <w:spacing w:after="0" w:line="123" w:lineRule="exact"/>
        <w:rPr>
          <w:rFonts w:ascii="Arial" w:cs="Arial" w:eastAsia="Arial" w:hAnsi="Arial"/>
          <w:sz w:val="16"/>
          <w:szCs w:val="16"/>
          <w:i w:val="1"/>
          <w:iCs w:val="1"/>
          <w:color w:val="auto"/>
        </w:rPr>
      </w:pPr>
    </w:p>
    <w:p>
      <w:pPr>
        <w:ind w:left="660" w:right="160" w:hanging="328"/>
        <w:spacing w:after="0" w:line="257" w:lineRule="auto"/>
        <w:tabs>
          <w:tab w:leader="none" w:pos="65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Third-Quarter Global Net Revenues from the Oncology Portolio Were $1.512 Billion a Decrease of 8.4 Percent on a Reported Basis, or 8.6 Percent on an Operatonal Basis; Global Imbruvica Net Revenues Were $908 Million; Global Venclexta Net Revenues Were $590 Million</w:t>
      </w:r>
    </w:p>
    <w:p>
      <w:pPr>
        <w:spacing w:after="0" w:line="219" w:lineRule="exact"/>
        <w:rPr>
          <w:rFonts w:ascii="Arial" w:cs="Arial" w:eastAsia="Arial" w:hAnsi="Arial"/>
          <w:sz w:val="20"/>
          <w:szCs w:val="20"/>
          <w:i w:val="1"/>
          <w:iCs w:val="1"/>
          <w:color w:val="auto"/>
        </w:rPr>
      </w:pPr>
    </w:p>
    <w:p>
      <w:pPr>
        <w:ind w:left="660" w:right="160" w:hanging="328"/>
        <w:spacing w:after="0" w:line="277" w:lineRule="auto"/>
        <w:tabs>
          <w:tab w:leader="none" w:pos="651" w:val="left"/>
        </w:tabs>
        <w:numPr>
          <w:ilvl w:val="0"/>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Third-Quarter Global Net Revenues from the Neuroscience Portolio Were $2.043 Billion, an Increase of 22.1 Percent on a Reported Basis, or 22.0 Percent on an Operatonal Basis; Global Botox Therapeutc Net Revenues Were $748 Million; Global Vraylar Net Revenues Were $751 Million; Combined Global Ubrelvy and Qulipta Net Revenues Were $365 Million</w:t>
      </w:r>
    </w:p>
    <w:p>
      <w:pPr>
        <w:spacing w:after="0" w:line="188" w:lineRule="exact"/>
        <w:rPr>
          <w:rFonts w:ascii="Arial" w:cs="Arial" w:eastAsia="Arial" w:hAnsi="Arial"/>
          <w:sz w:val="19"/>
          <w:szCs w:val="19"/>
          <w:i w:val="1"/>
          <w:iCs w:val="1"/>
          <w:color w:val="auto"/>
        </w:rPr>
      </w:pPr>
    </w:p>
    <w:p>
      <w:pPr>
        <w:ind w:left="660" w:right="60" w:hanging="328"/>
        <w:spacing w:after="0" w:line="264" w:lineRule="auto"/>
        <w:tabs>
          <w:tab w:leader="none" w:pos="65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Third-Quarter Global Net Revenues from the Aesthetcs Portolio Were $1.239 Billion, a Decrease of 4.7 Percent on a Reported Basis, or 4.0 Percent on an Operatonal Basis; Global Botox Cosmetc Net Revenues Were $620 Million; Global Juvederm Net Revenues Were $321 Million</w:t>
      </w:r>
    </w:p>
    <w:p>
      <w:pPr>
        <w:spacing w:after="0" w:line="199" w:lineRule="exact"/>
        <w:rPr>
          <w:rFonts w:ascii="Arial" w:cs="Arial" w:eastAsia="Arial" w:hAnsi="Arial"/>
          <w:sz w:val="20"/>
          <w:szCs w:val="20"/>
          <w:i w:val="1"/>
          <w:iCs w:val="1"/>
          <w:color w:val="auto"/>
        </w:rPr>
      </w:pPr>
    </w:p>
    <w:p>
      <w:pPr>
        <w:ind w:left="660" w:right="200" w:hanging="328"/>
        <w:spacing w:after="0" w:line="403" w:lineRule="auto"/>
        <w:tabs>
          <w:tab w:leader="none" w:pos="651"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Raises 2023 Adjusted Diluted EPS Guidance Range from $10.86 - $11.06 to $11.19 - $11.23, which Includes an Unfavorable Impact of $0.27 Per Share Related to Acquired IPR&amp;D and Milestones Expense Incurred Year-To-Date Through the Third Quarter 2023</w:t>
      </w:r>
    </w:p>
    <w:p>
      <w:pPr>
        <w:spacing w:after="0" w:line="97" w:lineRule="exact"/>
        <w:rPr>
          <w:rFonts w:ascii="Arial" w:cs="Arial" w:eastAsia="Arial" w:hAnsi="Arial"/>
          <w:sz w:val="16"/>
          <w:szCs w:val="16"/>
          <w:color w:val="auto"/>
        </w:rPr>
      </w:pPr>
    </w:p>
    <w:p>
      <w:pPr>
        <w:ind w:left="660" w:right="100" w:hanging="328"/>
        <w:spacing w:after="0" w:line="257" w:lineRule="auto"/>
        <w:tabs>
          <w:tab w:leader="none" w:pos="65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Raises 2024 Adjusted Diluted EPS Guidance Floor from $10.70 to $11.00, which Excludes any Impact Related to Acquired IPR&amp;D and Milestones Expense</w:t>
      </w:r>
    </w:p>
    <w:p>
      <w:pPr>
        <w:ind w:left="640" w:hanging="308"/>
        <w:spacing w:after="0"/>
        <w:tabs>
          <w:tab w:leader="none" w:pos="64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Announces 2024 Dividend Increase of 4.7 Percent, Beginning with Dividend Payable in February 2024</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NORTH CHICAGO, Ill., </w:t>
      </w:r>
      <w:r>
        <w:rPr>
          <w:rFonts w:ascii="Arial" w:cs="Arial" w:eastAsia="Arial" w:hAnsi="Arial"/>
          <w:sz w:val="16"/>
          <w:szCs w:val="16"/>
          <w:color w:val="auto"/>
        </w:rPr>
        <w:t>October 27, 2023 – AbbVie (NYSE:ABBV) announced fnancial results for the third quarter ended September 30, 2023.</w:t>
      </w:r>
    </w:p>
    <w:p>
      <w:pPr>
        <w:spacing w:after="0" w:line="275"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"We delivered another quarter of outstanding results driven by acceleratng performance across our non-Humira growth platorm, which is demonstratng double-digit growth," said Richard A. Gonzalez, chairman and chief executve ofcer, AbbVie. "Based upon the strength and momentum of our business, we are once again raising our full-year 2023 guidance as well as our foor EPS outlook for next year. We are also increasing our quarterly dividend, underscoring our confdence in AbbVie's long-term outlook."</w:t>
      </w: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0480" w:type="dxa"/>
            <w:vAlign w:val="bottom"/>
          </w:tcPr>
          <w:p>
            <w:pPr>
              <w:spacing w:after="0"/>
              <w:rPr>
                <w:sz w:val="20"/>
                <w:szCs w:val="20"/>
                <w:color w:val="auto"/>
              </w:rPr>
            </w:pPr>
            <w:r>
              <w:rPr>
                <w:rFonts w:ascii="Arial" w:cs="Arial" w:eastAsia="Arial" w:hAnsi="Arial"/>
                <w:sz w:val="14"/>
                <w:szCs w:val="14"/>
                <w:color w:val="auto"/>
              </w:rPr>
              <w:t>Note: "Operatonal" comparisons are presented at constant currency rates that refect comparatve local currency net revenues at the prior year's foreign exchange rates.</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20"/>
          </w:cols>
          <w:pgMar w:left="320" w:top="1440" w:right="35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Third-Quarter Results</w:t>
      </w:r>
    </w:p>
    <w:p>
      <w:pPr>
        <w:spacing w:after="0" w:line="25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Worldwide net revenues were $13.927 billion, a decrease of 6.0 percent on a reported basis, or 5.8 percent on an operatonal basis.</w:t>
      </w:r>
    </w:p>
    <w:p>
      <w:pPr>
        <w:spacing w:after="0" w:line="265"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immunology portolio were $6.783 billion, a decrease of 11.3 percent.</w:t>
      </w:r>
    </w:p>
    <w:p>
      <w:pPr>
        <w:spacing w:after="0" w:line="20" w:lineRule="exact"/>
        <w:rPr>
          <w:rFonts w:ascii="Arial" w:cs="Arial" w:eastAsia="Arial" w:hAnsi="Arial"/>
          <w:sz w:val="20"/>
          <w:szCs w:val="20"/>
          <w:color w:val="auto"/>
        </w:rPr>
      </w:pPr>
    </w:p>
    <w:p>
      <w:pPr>
        <w:ind w:left="1300" w:right="20" w:hanging="320"/>
        <w:spacing w:after="0" w:line="248"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Humira net revenues of $3.547 billion decreased 36.2 percent. U.S. Humira net revenues were $3.020 billion, a decrease of 39.1 percent. Internatonally, Humira net revenues were $527 million, a decrease of 12.6 percent on a reported basis, or 12.2 percent on an operatonal basis.</w:t>
      </w:r>
    </w:p>
    <w:p>
      <w:pPr>
        <w:spacing w:after="0" w:line="2" w:lineRule="exact"/>
        <w:rPr>
          <w:rFonts w:ascii="Arial" w:cs="Arial" w:eastAsia="Arial" w:hAnsi="Arial"/>
          <w:sz w:val="20"/>
          <w:szCs w:val="20"/>
          <w:color w:val="auto"/>
        </w:rPr>
      </w:pPr>
    </w:p>
    <w:p>
      <w:pPr>
        <w:ind w:left="1300" w:right="460" w:hanging="320"/>
        <w:spacing w:after="0" w:line="246"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Skyrizi net revenues were $2.126 billion, an increase of 52.1 percent on a reported basis, or 51.9 percent on an operatonal basis.</w:t>
      </w:r>
    </w:p>
    <w:p>
      <w:pPr>
        <w:spacing w:after="0" w:line="1" w:lineRule="exact"/>
        <w:rPr>
          <w:rFonts w:ascii="Arial" w:cs="Arial" w:eastAsia="Arial" w:hAnsi="Arial"/>
          <w:sz w:val="20"/>
          <w:szCs w:val="20"/>
          <w:color w:val="auto"/>
        </w:rPr>
      </w:pPr>
    </w:p>
    <w:p>
      <w:pPr>
        <w:ind w:left="1300" w:right="420" w:hanging="320"/>
        <w:spacing w:after="0" w:line="253"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Rinvoq net revenues were $1.110 billion, an increase of 59.8 percent on a reported basis, or 59.6 percent on an operatonal basis.</w:t>
      </w:r>
    </w:p>
    <w:p>
      <w:pPr>
        <w:spacing w:after="0" w:line="223" w:lineRule="exact"/>
        <w:rPr>
          <w:rFonts w:ascii="Arial" w:cs="Arial" w:eastAsia="Arial" w:hAnsi="Arial"/>
          <w:sz w:val="20"/>
          <w:szCs w:val="20"/>
          <w:color w:val="auto"/>
        </w:rPr>
      </w:pPr>
    </w:p>
    <w:p>
      <w:pPr>
        <w:ind w:left="660" w:right="160" w:hanging="328"/>
        <w:spacing w:after="0" w:line="257" w:lineRule="auto"/>
        <w:tabs>
          <w:tab w:leader="none" w:pos="651"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oncology portolio were $1.512 billion, a decrease of 8.4 percent on a reported basis, or 8.6 percent on an operatonal basis.</w:t>
      </w:r>
    </w:p>
    <w:p>
      <w:pPr>
        <w:ind w:left="1300" w:right="240" w:hanging="320"/>
        <w:spacing w:after="0" w:line="246"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Imbruvica net revenues were $908 million, a decrease of 20.0 percent, with U.S. net revenues of $678 million and internatonal proft sharing of $230 million.</w:t>
      </w:r>
    </w:p>
    <w:p>
      <w:pPr>
        <w:spacing w:after="0" w:line="1" w:lineRule="exact"/>
        <w:rPr>
          <w:rFonts w:ascii="Arial" w:cs="Arial" w:eastAsia="Arial" w:hAnsi="Arial"/>
          <w:sz w:val="20"/>
          <w:szCs w:val="20"/>
          <w:color w:val="auto"/>
        </w:rPr>
      </w:pPr>
    </w:p>
    <w:p>
      <w:pPr>
        <w:ind w:left="1300" w:right="300" w:hanging="320"/>
        <w:spacing w:after="0" w:line="253"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Venclexta net revenues were $590 million, an increase of 14.6 percent on a reported basis, or 14.0 percent on an operatonal basis.</w:t>
      </w:r>
    </w:p>
    <w:p>
      <w:pPr>
        <w:spacing w:after="0" w:line="223" w:lineRule="exact"/>
        <w:rPr>
          <w:rFonts w:ascii="Arial" w:cs="Arial" w:eastAsia="Arial" w:hAnsi="Arial"/>
          <w:sz w:val="20"/>
          <w:szCs w:val="20"/>
          <w:color w:val="auto"/>
        </w:rPr>
      </w:pPr>
    </w:p>
    <w:p>
      <w:pPr>
        <w:ind w:left="660" w:right="240" w:hanging="328"/>
        <w:spacing w:after="0" w:line="250" w:lineRule="auto"/>
        <w:tabs>
          <w:tab w:leader="none" w:pos="651"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neuroscience portolio were $2.043 billion, an increase of 22.1 percent on a reported basis, or 22.0 percent on an operatonal basis.</w:t>
      </w:r>
    </w:p>
    <w:p>
      <w:pPr>
        <w:ind w:left="1300" w:right="40" w:hanging="320"/>
        <w:spacing w:after="0" w:line="246"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Botox Therapeutc net revenues were $748 million, an increase of 7.1 percent on a reported basis, or 7.4 percent on an operatonal basis.</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Vraylar net revenues were $751 million, an increase of 35.4 percent.</w:t>
      </w:r>
    </w:p>
    <w:p>
      <w:pPr>
        <w:spacing w:after="0" w:line="13"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Ubrelvy net revenues were $233 million, an increase of 45.6 percent.</w:t>
      </w: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Qulipta net revenues were $132 million.</w:t>
      </w:r>
    </w:p>
    <w:p>
      <w:pPr>
        <w:spacing w:after="0" w:line="248" w:lineRule="exact"/>
        <w:rPr>
          <w:rFonts w:ascii="Arial" w:cs="Arial" w:eastAsia="Arial" w:hAnsi="Arial"/>
          <w:sz w:val="20"/>
          <w:szCs w:val="20"/>
          <w:color w:val="auto"/>
        </w:rPr>
      </w:pPr>
    </w:p>
    <w:p>
      <w:pPr>
        <w:ind w:left="660" w:right="80" w:hanging="328"/>
        <w:spacing w:after="0" w:line="250" w:lineRule="auto"/>
        <w:tabs>
          <w:tab w:leader="none" w:pos="651"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aesthetcs portolio were $1.239 billion, a decrease of 4.7 percent on a reported basis, or 4.0 percent on an operatonal basis.</w:t>
      </w:r>
    </w:p>
    <w:p>
      <w:pPr>
        <w:ind w:left="1300" w:right="80" w:hanging="320"/>
        <w:spacing w:after="0" w:line="246"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Botox Cosmetc net revenues were $620 million, a decrease of 2.7 percent on a reported basis, or 1.7 percent on an operatonal basis.</w:t>
      </w:r>
    </w:p>
    <w:p>
      <w:pPr>
        <w:spacing w:after="0" w:line="1" w:lineRule="exact"/>
        <w:rPr>
          <w:rFonts w:ascii="Arial" w:cs="Arial" w:eastAsia="Arial" w:hAnsi="Arial"/>
          <w:sz w:val="20"/>
          <w:szCs w:val="20"/>
          <w:color w:val="auto"/>
        </w:rPr>
      </w:pPr>
    </w:p>
    <w:p>
      <w:pPr>
        <w:ind w:left="1300" w:right="540" w:hanging="320"/>
        <w:spacing w:after="0" w:line="267"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Juvederm net revenues were $321 million, a decrease of 8.6 percent on a reported basis, or 7.9 percent on an operatonal basis.</w:t>
      </w:r>
    </w:p>
    <w:p>
      <w:pPr>
        <w:spacing w:after="0" w:line="196"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 GAAP basis, the gross margin rato in the third quarter was 53.4 percent. The adjusted gross margin rato was 83.5 percent.</w:t>
      </w:r>
    </w:p>
    <w:p>
      <w:pPr>
        <w:spacing w:after="0" w:line="279" w:lineRule="exact"/>
        <w:rPr>
          <w:rFonts w:ascii="Arial" w:cs="Arial" w:eastAsia="Arial" w:hAnsi="Arial"/>
          <w:sz w:val="18"/>
          <w:szCs w:val="18"/>
          <w:color w:val="auto"/>
        </w:rPr>
      </w:pPr>
    </w:p>
    <w:p>
      <w:pPr>
        <w:ind w:left="660" w:hanging="328"/>
        <w:spacing w:after="0" w:line="260" w:lineRule="auto"/>
        <w:tabs>
          <w:tab w:leader="none" w:pos="651" w:val="left"/>
        </w:tabs>
        <w:numPr>
          <w:ilvl w:val="0"/>
          <w:numId w:val="3"/>
        </w:numPr>
        <w:rPr>
          <w:rFonts w:ascii="Arial" w:cs="Arial" w:eastAsia="Arial" w:hAnsi="Arial"/>
          <w:sz w:val="20"/>
          <w:szCs w:val="20"/>
          <w:color w:val="auto"/>
        </w:rPr>
      </w:pPr>
      <w:r>
        <w:rPr>
          <w:rFonts w:ascii="Arial" w:cs="Arial" w:eastAsia="Arial" w:hAnsi="Arial"/>
          <w:sz w:val="20"/>
          <w:szCs w:val="20"/>
          <w:color w:val="auto"/>
        </w:rPr>
        <w:t>On a GAAP basis, selling, general and administratve (SG&amp;A) expense was 24.2 percent of net revenues. The adjusted SG&amp;A expense was 23.9 percent of net revenues.</w:t>
      </w:r>
    </w:p>
    <w:p>
      <w:pPr>
        <w:spacing w:after="0" w:line="217" w:lineRule="exact"/>
        <w:rPr>
          <w:rFonts w:ascii="Arial" w:cs="Arial" w:eastAsia="Arial" w:hAnsi="Arial"/>
          <w:sz w:val="20"/>
          <w:szCs w:val="20"/>
          <w:color w:val="auto"/>
        </w:rPr>
      </w:pPr>
    </w:p>
    <w:p>
      <w:pPr>
        <w:ind w:left="660" w:right="480" w:hanging="328"/>
        <w:spacing w:after="0" w:line="274" w:lineRule="auto"/>
        <w:tabs>
          <w:tab w:leader="none" w:pos="651" w:val="left"/>
        </w:tabs>
        <w:numPr>
          <w:ilvl w:val="0"/>
          <w:numId w:val="3"/>
        </w:numPr>
        <w:rPr>
          <w:rFonts w:ascii="Arial" w:cs="Arial" w:eastAsia="Arial" w:hAnsi="Arial"/>
          <w:sz w:val="20"/>
          <w:szCs w:val="20"/>
          <w:color w:val="auto"/>
        </w:rPr>
      </w:pPr>
      <w:r>
        <w:rPr>
          <w:rFonts w:ascii="Arial" w:cs="Arial" w:eastAsia="Arial" w:hAnsi="Arial"/>
          <w:sz w:val="20"/>
          <w:szCs w:val="20"/>
          <w:color w:val="auto"/>
        </w:rPr>
        <w:t>Research and development (R&amp;D) expense on a GAAP and adjusted basis was 12.4 percent of net revenues, refectng funding actons supportng all stages of our pipeline.</w:t>
      </w:r>
    </w:p>
    <w:p>
      <w:pPr>
        <w:spacing w:after="0" w:line="190"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Acquired IPR&amp;D and milestones expense was 0.5 percent of net revenues.</w:t>
      </w:r>
    </w:p>
    <w:p>
      <w:pPr>
        <w:spacing w:after="0" w:line="256"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 GAAP basis, the operatng margin in the third quarter was 16.4 percent. The adjusted operatng margin was 46.7 percent.</w:t>
      </w:r>
    </w:p>
    <w:p>
      <w:pPr>
        <w:spacing w:after="0" w:line="265"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interest expense was $398 million.</w:t>
      </w:r>
    </w:p>
    <w:p>
      <w:pPr>
        <w:spacing w:after="0" w:line="256"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On a GAAP basis, the tax rate in the quarter was 8.8 percent. The adjusted tax rate was 15.7 percent.</w:t>
      </w:r>
    </w:p>
    <w:p>
      <w:pPr>
        <w:spacing w:after="0" w:line="256" w:lineRule="exact"/>
        <w:rPr>
          <w:rFonts w:ascii="Arial" w:cs="Arial" w:eastAsia="Arial" w:hAnsi="Arial"/>
          <w:sz w:val="20"/>
          <w:szCs w:val="20"/>
          <w:color w:val="auto"/>
        </w:rPr>
      </w:pPr>
    </w:p>
    <w:p>
      <w:pPr>
        <w:ind w:left="660" w:right="540" w:hanging="328"/>
        <w:spacing w:after="0" w:line="316" w:lineRule="auto"/>
        <w:tabs>
          <w:tab w:leader="none" w:pos="651"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EPS in the third quarter was $1.00 on a GAAP basis. Adjusted diluted EPS, excluding specifed items, was $2.95. These results include an unfavorable impact of $0.04 per share related to acquired IPR&amp;D and milestones expense.</w:t>
      </w:r>
    </w:p>
    <w:p>
      <w:pPr>
        <w:sectPr>
          <w:pgSz w:w="11900" w:h="16838" w:orient="portrait"/>
          <w:cols w:equalWidth="0" w:num="1">
            <w:col w:w="11200"/>
          </w:cols>
          <w:pgMar w:left="320" w:top="911" w:right="37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11080" w:val="left"/>
        </w:tabs>
        <w:rPr>
          <w:sz w:val="20"/>
          <w:szCs w:val="20"/>
          <w:color w:val="auto"/>
        </w:rPr>
      </w:pPr>
      <w:r>
        <w:rPr>
          <w:rFonts w:ascii="Arial" w:cs="Arial" w:eastAsia="Arial" w:hAnsi="Arial"/>
          <w:sz w:val="14"/>
          <w:szCs w:val="14"/>
          <w:color w:val="auto"/>
        </w:rPr>
        <w:t>Note: "Operatonal" comparisons are presented at constant currency rates that refect comparatve local currency net revenues at the prior year's foreign exchange rates.</w:t>
      </w:r>
      <w:r>
        <w:rPr>
          <w:sz w:val="20"/>
          <w:szCs w:val="20"/>
          <w:color w:val="auto"/>
        </w:rPr>
        <w:tab/>
      </w:r>
      <w:r>
        <w:rPr>
          <w:rFonts w:ascii="Arial" w:cs="Arial" w:eastAsia="Arial" w:hAnsi="Arial"/>
          <w:sz w:val="17"/>
          <w:szCs w:val="17"/>
          <w:color w:val="auto"/>
        </w:rPr>
        <w:t>2</w:t>
      </w:r>
    </w:p>
    <w:p>
      <w:pPr>
        <w:sectPr>
          <w:pgSz w:w="11900" w:h="16838" w:orient="portrait"/>
          <w:cols w:equalWidth="0" w:num="1">
            <w:col w:w="11200"/>
          </w:cols>
          <w:pgMar w:left="320" w:top="911" w:right="3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color w:val="auto"/>
        </w:rPr>
        <w:t>Recent Events</w:t>
      </w:r>
    </w:p>
    <w:p>
      <w:pPr>
        <w:spacing w:after="0" w:line="243" w:lineRule="exact"/>
        <w:rPr>
          <w:sz w:val="20"/>
          <w:szCs w:val="20"/>
          <w:color w:val="auto"/>
        </w:rPr>
      </w:pPr>
    </w:p>
    <w:p>
      <w:pPr>
        <w:ind w:left="660" w:right="40" w:hanging="328"/>
        <w:spacing w:after="0" w:line="226" w:lineRule="auto"/>
        <w:tabs>
          <w:tab w:leader="none" w:pos="651" w:val="left"/>
        </w:tabs>
        <w:numPr>
          <w:ilvl w:val="0"/>
          <w:numId w:val="4"/>
        </w:numPr>
        <w:rPr>
          <w:rFonts w:ascii="Arial" w:cs="Arial" w:eastAsia="Arial" w:hAnsi="Arial"/>
          <w:sz w:val="20"/>
          <w:szCs w:val="20"/>
          <w:color w:val="auto"/>
        </w:rPr>
      </w:pPr>
      <w:r>
        <w:rPr>
          <w:rFonts w:ascii="Arial" w:cs="Arial" w:eastAsia="Arial" w:hAnsi="Arial"/>
          <w:sz w:val="20"/>
          <w:szCs w:val="20"/>
          <w:color w:val="auto"/>
        </w:rPr>
        <w:t>AbbVie announced that it submited applicatons for a new indicaton to the U.S. Food and Drug Administraton (FDA) and European Medicines Agency (EMA) for Skyrizi (risankizumab) for the treatment of adult patents with moderately to severely actve ulceratve colits (UC). The submissions are supported by two Phase 3 clinical trials demonstratng Skyrizi achieved the primary endpoint of clinical remission (per Adapted Mayo Score) and key secondary endpoints as an inducton and maintenance treatment. Skyrizi is part of a collaboraton between Boehringer Ingelheim and AbbVie, with AbbVie leading development and commercializaton globally.</w:t>
      </w:r>
    </w:p>
    <w:p>
      <w:pPr>
        <w:spacing w:after="0" w:line="212" w:lineRule="exact"/>
        <w:rPr>
          <w:rFonts w:ascii="Arial" w:cs="Arial" w:eastAsia="Arial" w:hAnsi="Arial"/>
          <w:sz w:val="20"/>
          <w:szCs w:val="20"/>
          <w:color w:val="auto"/>
        </w:rPr>
      </w:pPr>
    </w:p>
    <w:p>
      <w:pPr>
        <w:ind w:left="660" w:right="500" w:hanging="328"/>
        <w:spacing w:after="0" w:line="294" w:lineRule="auto"/>
        <w:tabs>
          <w:tab w:leader="none" w:pos="651" w:val="left"/>
        </w:tabs>
        <w:numPr>
          <w:ilvl w:val="0"/>
          <w:numId w:val="4"/>
        </w:numPr>
        <w:rPr>
          <w:rFonts w:ascii="Arial" w:cs="Arial" w:eastAsia="Arial" w:hAnsi="Arial"/>
          <w:sz w:val="16"/>
          <w:szCs w:val="16"/>
          <w:color w:val="auto"/>
        </w:rPr>
      </w:pPr>
      <w:r>
        <w:rPr>
          <w:rFonts w:ascii="Arial" w:cs="Arial" w:eastAsia="Arial" w:hAnsi="Arial"/>
          <w:sz w:val="16"/>
          <w:szCs w:val="16"/>
          <w:color w:val="auto"/>
        </w:rPr>
        <w:t>AbbVie announced positve topline results from SEQUENCE, a Phase 3 study evaluatng Skyrizi versus Stelara (ustekinumab) in patents with moderately to severely actve Crohn’s disease (CD) who have failed one or more ant-TNF therapies. In the study, Skyrizi met both primary endpoints (non-inferiority for clinical remission per CDAI at week 24 and superiority of endoscopic remission at week 48) versus Stelara. All secondary endpoints in the trial achieved statstcal signifcance for superiority versus Stelara. Safety results were consistent with the overall safety profle of Skyrizi, with no new safety risks identfed.</w:t>
      </w:r>
    </w:p>
    <w:p>
      <w:pPr>
        <w:spacing w:after="0" w:line="169" w:lineRule="exact"/>
        <w:rPr>
          <w:rFonts w:ascii="Arial" w:cs="Arial" w:eastAsia="Arial" w:hAnsi="Arial"/>
          <w:sz w:val="16"/>
          <w:szCs w:val="16"/>
          <w:color w:val="auto"/>
        </w:rPr>
      </w:pPr>
    </w:p>
    <w:p>
      <w:pPr>
        <w:ind w:left="660" w:right="20" w:hanging="328"/>
        <w:spacing w:after="0" w:line="242" w:lineRule="auto"/>
        <w:tabs>
          <w:tab w:leader="none" w:pos="651" w:val="left"/>
        </w:tabs>
        <w:numPr>
          <w:ilvl w:val="0"/>
          <w:numId w:val="4"/>
        </w:numPr>
        <w:rPr>
          <w:rFonts w:ascii="Arial" w:cs="Arial" w:eastAsia="Arial" w:hAnsi="Arial"/>
          <w:sz w:val="19"/>
          <w:szCs w:val="19"/>
          <w:color w:val="auto"/>
        </w:rPr>
      </w:pPr>
      <w:r>
        <w:rPr>
          <w:rFonts w:ascii="Arial" w:cs="Arial" w:eastAsia="Arial" w:hAnsi="Arial"/>
          <w:sz w:val="19"/>
          <w:szCs w:val="19"/>
          <w:color w:val="auto"/>
        </w:rPr>
        <w:t>AbbVie announced that its Phase 2b study evaluatng Rinvoq (upadacitnib) in adults with non-segmental vitligo (NSV) met the primary endpoint of percent change from baseline in the Facial Vitligo Area Scoring Index (F-VASI) at week 24 with the 11 mg and 22 mg doses versus placebo. The percent reducton from baseline in F-VASI at week 52 was numerically greater than results at week 24 for all Rinvoq doses. No new safety signals were identfed beyond the known safety profle for Rinvoq. Based on these data, AbbVie is advancing its clinical program of Rinvoq in vitligo to Phase 3.</w:t>
      </w:r>
    </w:p>
    <w:p>
      <w:pPr>
        <w:spacing w:after="0" w:line="207" w:lineRule="exact"/>
        <w:rPr>
          <w:rFonts w:ascii="Arial" w:cs="Arial" w:eastAsia="Arial" w:hAnsi="Arial"/>
          <w:sz w:val="19"/>
          <w:szCs w:val="19"/>
          <w:color w:val="auto"/>
        </w:rPr>
      </w:pPr>
    </w:p>
    <w:p>
      <w:pPr>
        <w:ind w:left="660" w:right="100" w:hanging="328"/>
        <w:spacing w:after="0" w:line="238" w:lineRule="auto"/>
        <w:tabs>
          <w:tab w:leader="none" w:pos="651" w:val="left"/>
        </w:tabs>
        <w:numPr>
          <w:ilvl w:val="0"/>
          <w:numId w:val="4"/>
        </w:numPr>
        <w:rPr>
          <w:rFonts w:ascii="Arial" w:cs="Arial" w:eastAsia="Arial" w:hAnsi="Arial"/>
          <w:sz w:val="19"/>
          <w:szCs w:val="19"/>
          <w:color w:val="auto"/>
        </w:rPr>
      </w:pPr>
      <w:r>
        <w:rPr>
          <w:rFonts w:ascii="Arial" w:cs="Arial" w:eastAsia="Arial" w:hAnsi="Arial"/>
          <w:sz w:val="19"/>
          <w:szCs w:val="19"/>
          <w:color w:val="auto"/>
        </w:rPr>
        <w:t>At the United European Gastroenterology (UEG) Week 2023, AbbVie shared 23 abstracts, including 11 oral presentatons and 12 poster presentatons, spanning research on Skyrizi and Rinvoq in both CD and UC. Highlights included late-breaking data from the head-to-head Phase 3 SEQUENCE study evaluatng Skyrizi versus Stelara in CD, primary efcacy and safety results from the Phase 3 INSPIRE inducton study for Skyrizi in UC, as well as analyses on clinical and endoscopic outcomes from AbbVie’s maintenance trials for Skyrizi and Rinvoq in CD and for Rinvoq in UC.</w:t>
      </w:r>
    </w:p>
    <w:p>
      <w:pPr>
        <w:spacing w:after="0" w:line="212" w:lineRule="exact"/>
        <w:rPr>
          <w:rFonts w:ascii="Arial" w:cs="Arial" w:eastAsia="Arial" w:hAnsi="Arial"/>
          <w:sz w:val="19"/>
          <w:szCs w:val="19"/>
          <w:color w:val="auto"/>
        </w:rPr>
      </w:pPr>
    </w:p>
    <w:p>
      <w:pPr>
        <w:ind w:left="660" w:right="80" w:hanging="328"/>
        <w:spacing w:after="0" w:line="226" w:lineRule="auto"/>
        <w:tabs>
          <w:tab w:leader="none" w:pos="651" w:val="left"/>
        </w:tabs>
        <w:numPr>
          <w:ilvl w:val="0"/>
          <w:numId w:val="4"/>
        </w:numPr>
        <w:rPr>
          <w:rFonts w:ascii="Arial" w:cs="Arial" w:eastAsia="Arial" w:hAnsi="Arial"/>
          <w:sz w:val="20"/>
          <w:szCs w:val="20"/>
          <w:color w:val="auto"/>
        </w:rPr>
      </w:pPr>
      <w:r>
        <w:rPr>
          <w:rFonts w:ascii="Arial" w:cs="Arial" w:eastAsia="Arial" w:hAnsi="Arial"/>
          <w:sz w:val="20"/>
          <w:szCs w:val="20"/>
          <w:color w:val="auto"/>
        </w:rPr>
        <w:t>At the European Academy of Dermatology and Venereology (EADV) Congress, AbbVie announced new data analyses from the Measure Up 1, Measure Up 2 and AD Up Phase 3 studies that further demonstrated the long-term efcacy and safety profle of Rinvoq among adults and adolescents 12 years and older with moderate to severe atopic dermatts (AD). Across all 3 studies, response rates for EASI 75 and vIGA-AD 0/1 (co-primary endpoints) and for EASI 90 and WP-NRS 0/1 at week 16 were sustained through week 140 among patents treated with Rinvoq. Safety results were consistent with the known safety profle of Rinvoq, with no new safety signals observed.</w:t>
      </w:r>
    </w:p>
    <w:p>
      <w:pPr>
        <w:spacing w:after="0" w:line="212" w:lineRule="exact"/>
        <w:rPr>
          <w:rFonts w:ascii="Arial" w:cs="Arial" w:eastAsia="Arial" w:hAnsi="Arial"/>
          <w:sz w:val="20"/>
          <w:szCs w:val="20"/>
          <w:color w:val="auto"/>
        </w:rPr>
      </w:pPr>
    </w:p>
    <w:p>
      <w:pPr>
        <w:ind w:left="660" w:right="20" w:hanging="328"/>
        <w:spacing w:after="0" w:line="241" w:lineRule="auto"/>
        <w:tabs>
          <w:tab w:leader="none" w:pos="651" w:val="left"/>
        </w:tabs>
        <w:numPr>
          <w:ilvl w:val="0"/>
          <w:numId w:val="4"/>
        </w:numPr>
        <w:rPr>
          <w:rFonts w:ascii="Arial" w:cs="Arial" w:eastAsia="Arial" w:hAnsi="Arial"/>
          <w:sz w:val="19"/>
          <w:szCs w:val="19"/>
          <w:color w:val="auto"/>
        </w:rPr>
      </w:pPr>
      <w:r>
        <w:rPr>
          <w:rFonts w:ascii="Arial" w:cs="Arial" w:eastAsia="Arial" w:hAnsi="Arial"/>
          <w:sz w:val="19"/>
          <w:szCs w:val="19"/>
          <w:color w:val="auto"/>
        </w:rPr>
        <w:t>AbbVie announced that the European Commission (EC) granted conditonal marketng authorizaton for Tepkinly (epcoritamab) as a monotherapy for the treatment of adult patents with relapsed or refractory (r/r) difuse large B-cell lymphoma (DLBCL) afer two or more lines of systemic therapy. Tepkinly is the frst and only subcutaneous T-cell engaging bispecifc antbody approved for the treatment of this patent populaton in the European Union (EU). This conditonal marketng authorizaton approval represents AbbVie's second approved hematological cancer treatment in the EU and is supported by data from the pivotal Phase 1/2 EPCORE NHL-1 clinical trial. Tepkinly is being co-developed by AbbVie and Genmab.</w:t>
      </w:r>
    </w:p>
    <w:p>
      <w:pPr>
        <w:spacing w:after="0" w:line="195" w:lineRule="exact"/>
        <w:rPr>
          <w:rFonts w:ascii="Arial" w:cs="Arial" w:eastAsia="Arial" w:hAnsi="Arial"/>
          <w:sz w:val="19"/>
          <w:szCs w:val="19"/>
          <w:color w:val="auto"/>
        </w:rPr>
      </w:pPr>
    </w:p>
    <w:p>
      <w:pPr>
        <w:ind w:left="660" w:right="40" w:hanging="328"/>
        <w:spacing w:after="0" w:line="253" w:lineRule="auto"/>
        <w:tabs>
          <w:tab w:leader="none" w:pos="65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August 2023, as part of Infaton Reducton Act (IRA) of 2022, the company’s oncology product Imbruvica, sold in the U.S., was included on the list of products selected for price negotaton by the Centers for Medicare &amp; Medicaid Services (CMS). The selecton contributed to a signifcant decrease in the estmated future cash fows for the product and represented a triggering event which required the company to evaluate the underlying defnite lived-intangible asset for impairment. The company utlized a discounted cash fow analysis to estmate the fair value of the intangible asset resultng in a partal impairment of both the gross and net carrying amount. Based on the revised cash fows, the company recorded a pre-tax impairment charge of $2.1 billion to cost of products sold in the condensed consolidated statement of earnings for the third quarter of 2023. The remaining intangible asset carrying value related to Imbruvica in the U.S. totaled $1.8 billion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911"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Recent Events (Contnued)</w:t>
      </w:r>
    </w:p>
    <w:p>
      <w:pPr>
        <w:spacing w:after="0" w:line="229" w:lineRule="exact"/>
        <w:rPr>
          <w:sz w:val="20"/>
          <w:szCs w:val="20"/>
          <w:color w:val="auto"/>
        </w:rPr>
      </w:pPr>
    </w:p>
    <w:p>
      <w:pPr>
        <w:ind w:left="660" w:right="200" w:hanging="328"/>
        <w:spacing w:after="0" w:line="234" w:lineRule="auto"/>
        <w:tabs>
          <w:tab w:leader="none" w:pos="65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announced results from CANOVA, a Phase 3 study evaluatng Venclexta (venetoclax) plus dexamethasone (VenDex) for patents with t(11;14)-positve r/r multple myeloma (MM) who received two or more prior treatments. Data did not demonstrate that the treatment combinaton signifcantly improved progression-free survival (PFS), the primary endpoint of the trial. Patents receiving VenDex showed improvement in median PFS of 9.9 months compared to 5.8 months with the combinaton of study comparator pomalidomide and dexamethasone (PomDex); however, the results did not reach statstcal signifcance. Results were presented at the Internatonal Myeloma Society (IMS) Annual Meetng and AbbVie will discuss the data with health authorites to further understand the potental of venetoclax as a biomarker-driven therapy in MM. Venclexta is being developed by AbbVie and Roche. It is jointly commercialized by AbbVie and Genentech, a member of the Roche Group, in the U.S. and by AbbVie outside of the U.S.</w:t>
      </w:r>
    </w:p>
    <w:p>
      <w:pPr>
        <w:spacing w:after="0" w:line="209" w:lineRule="exact"/>
        <w:rPr>
          <w:rFonts w:ascii="Arial" w:cs="Arial" w:eastAsia="Arial" w:hAnsi="Arial"/>
          <w:sz w:val="20"/>
          <w:szCs w:val="20"/>
          <w:color w:val="auto"/>
        </w:rPr>
      </w:pPr>
    </w:p>
    <w:p>
      <w:pPr>
        <w:ind w:left="660" w:right="140" w:hanging="328"/>
        <w:spacing w:after="0" w:line="242" w:lineRule="auto"/>
        <w:tabs>
          <w:tab w:leader="none" w:pos="651" w:val="left"/>
        </w:tabs>
        <w:numPr>
          <w:ilvl w:val="0"/>
          <w:numId w:val="5"/>
        </w:numPr>
        <w:rPr>
          <w:rFonts w:ascii="Arial" w:cs="Arial" w:eastAsia="Arial" w:hAnsi="Arial"/>
          <w:sz w:val="19"/>
          <w:szCs w:val="19"/>
          <w:color w:val="auto"/>
        </w:rPr>
      </w:pPr>
      <w:r>
        <w:rPr>
          <w:rFonts w:ascii="Arial" w:cs="Arial" w:eastAsia="Arial" w:hAnsi="Arial"/>
          <w:sz w:val="19"/>
          <w:szCs w:val="19"/>
          <w:color w:val="auto"/>
        </w:rPr>
        <w:t>AbbVie announced that the (EC) approved Aquipta (atogepant) for the prophylaxis of migraine in adults who have four or more migraine days per month. The approval makes Aquipta the only once-daily oral calcitonin gene-related peptde (CGRP) receptor antagonist (gepant) treatment in the EU for the preventve treatment of both chronic and episodic migraine. The approval is based on two pivotal Phase 3 studies that demonstrated statstcally signifcant reducton in mean monthly migraine days with Aquipta compared to placebo in adult patents with both chronic and episodic migraine.</w:t>
      </w:r>
    </w:p>
    <w:p>
      <w:pPr>
        <w:spacing w:after="0" w:line="207" w:lineRule="exact"/>
        <w:rPr>
          <w:rFonts w:ascii="Arial" w:cs="Arial" w:eastAsia="Arial" w:hAnsi="Arial"/>
          <w:sz w:val="19"/>
          <w:szCs w:val="19"/>
          <w:color w:val="auto"/>
        </w:rPr>
      </w:pPr>
    </w:p>
    <w:p>
      <w:pPr>
        <w:jc w:val="both"/>
        <w:ind w:left="660" w:right="180" w:hanging="328"/>
        <w:spacing w:after="0" w:line="258" w:lineRule="auto"/>
        <w:tabs>
          <w:tab w:leader="none" w:pos="651"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Allergan Aesthetcs announced positve topline results from the second of three Phase 3 clinical studies evaluatng Botox Cosmetc (onabotulinumtoxinA) for the treatment of moderate to severe platysma prominence associated with platysma muscle actvity. All primary and secondary endpoints were met for this study and results were consistent with fndings from the frst Phase 3 study.</w:t>
      </w:r>
    </w:p>
    <w:p>
      <w:pPr>
        <w:spacing w:after="0" w:line="1" w:lineRule="exact"/>
        <w:rPr>
          <w:rFonts w:ascii="Arial" w:cs="Arial" w:eastAsia="Arial" w:hAnsi="Arial"/>
          <w:sz w:val="18"/>
          <w:szCs w:val="18"/>
          <w:color w:val="auto"/>
        </w:rPr>
      </w:pPr>
    </w:p>
    <w:p>
      <w:pPr>
        <w:ind w:left="660" w:right="160"/>
        <w:spacing w:after="0" w:line="220" w:lineRule="auto"/>
        <w:rPr>
          <w:rFonts w:ascii="Arial" w:cs="Arial" w:eastAsia="Arial" w:hAnsi="Arial"/>
          <w:sz w:val="18"/>
          <w:szCs w:val="18"/>
          <w:color w:val="auto"/>
        </w:rPr>
      </w:pPr>
      <w:r>
        <w:rPr>
          <w:rFonts w:ascii="Arial" w:cs="Arial" w:eastAsia="Arial" w:hAnsi="Arial"/>
          <w:sz w:val="20"/>
          <w:szCs w:val="20"/>
          <w:color w:val="auto"/>
        </w:rPr>
        <w:t>Results support Botox Cosmetc as a potental treatment opton for moderate to severe platysma prominence and data will be included as part of an upcoming FDA regulatory submission expected near the end of the year. If approved, Botox Cosmetc will be the frst and only neurotoxin for this indicaton.</w:t>
      </w:r>
    </w:p>
    <w:p>
      <w:pPr>
        <w:spacing w:after="0" w:line="210" w:lineRule="exact"/>
        <w:rPr>
          <w:rFonts w:ascii="Arial" w:cs="Arial" w:eastAsia="Arial" w:hAnsi="Arial"/>
          <w:sz w:val="18"/>
          <w:szCs w:val="18"/>
          <w:color w:val="auto"/>
        </w:rPr>
      </w:pPr>
    </w:p>
    <w:p>
      <w:pPr>
        <w:ind w:left="660" w:right="280" w:hanging="328"/>
        <w:spacing w:after="0" w:line="244" w:lineRule="auto"/>
        <w:tabs>
          <w:tab w:leader="none" w:pos="651" w:val="left"/>
        </w:tabs>
        <w:numPr>
          <w:ilvl w:val="0"/>
          <w:numId w:val="5"/>
        </w:numPr>
        <w:rPr>
          <w:rFonts w:ascii="Arial" w:cs="Arial" w:eastAsia="Arial" w:hAnsi="Arial"/>
          <w:sz w:val="19"/>
          <w:szCs w:val="19"/>
          <w:color w:val="auto"/>
        </w:rPr>
      </w:pPr>
      <w:r>
        <w:rPr>
          <w:rFonts w:ascii="Arial" w:cs="Arial" w:eastAsia="Arial" w:hAnsi="Arial"/>
          <w:sz w:val="19"/>
          <w:szCs w:val="19"/>
          <w:color w:val="auto"/>
        </w:rPr>
        <w:t>Allergan Aesthetcs announced positve topline results from two pivotal Phase 3 clinical studies evaluatng trenibotulinumtoxinE (BoNT/E) for the treatment of moderate to severe glabellar lines. All primary and secondary endpoints were met for both studies and results support trenibotulinumtoxinE as a novel botulinum neurotoxin serotype E characterized by a rapid onset of acton as early as 8 hours afer administraton and short duraton of efect within 2-3 weeks.</w:t>
      </w:r>
    </w:p>
    <w:p>
      <w:pPr>
        <w:spacing w:after="0" w:line="204" w:lineRule="exact"/>
        <w:rPr>
          <w:rFonts w:ascii="Arial" w:cs="Arial" w:eastAsia="Arial" w:hAnsi="Arial"/>
          <w:sz w:val="19"/>
          <w:szCs w:val="19"/>
          <w:color w:val="auto"/>
        </w:rPr>
      </w:pPr>
    </w:p>
    <w:p>
      <w:pPr>
        <w:ind w:left="660" w:hanging="328"/>
        <w:spacing w:after="0" w:line="230" w:lineRule="auto"/>
        <w:tabs>
          <w:tab w:leader="none" w:pos="65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announced that it exercised its exclusive right to acquire of Mitokinin, a discovery-stage biotechnology company developing a potentally frst-in-class disease-modifying treatment for Parkinson's Disease (PD). Mitokinin's lead compound, a selectve PINK1 actvator, is designed to address mitochondrial dysfuncton that is believed to be a major contributng factor to PD pathogenesis and progression.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89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Full-Year 2023 Outlook</w:t>
      </w:r>
    </w:p>
    <w:p>
      <w:pPr>
        <w:spacing w:after="0" w:line="202" w:lineRule="exact"/>
        <w:rPr>
          <w:sz w:val="20"/>
          <w:szCs w:val="20"/>
          <w:color w:val="auto"/>
        </w:rPr>
      </w:pPr>
    </w:p>
    <w:p>
      <w:pPr>
        <w:ind w:right="240"/>
        <w:spacing w:after="0" w:line="256" w:lineRule="auto"/>
        <w:rPr>
          <w:sz w:val="20"/>
          <w:szCs w:val="20"/>
          <w:color w:val="auto"/>
        </w:rPr>
      </w:pPr>
      <w:r>
        <w:rPr>
          <w:rFonts w:ascii="Arial" w:cs="Arial" w:eastAsia="Arial" w:hAnsi="Arial"/>
          <w:sz w:val="20"/>
          <w:szCs w:val="20"/>
          <w:color w:val="auto"/>
        </w:rPr>
        <w:t>AbbVie is raising its adjusted diluted EPS guidance for the full year 2023 from $10.86 - $11.06 to $11.19 - $11.23, which includes an unfavorable impact of $0.27 per share related to acquired IPR&amp;D and milestones expense incurred year-to-date through the third quarter 2023. The company's 2023 adjusted diluted EPS guidance excludes any impact from acquired IPR&amp;D and milestones that may be incurred beyond the third quarter of 2023, as both cannot be reliably forecasted.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AbbVie Raises 2024 EPS Guidance Floor</w:t>
      </w:r>
    </w:p>
    <w:p>
      <w:pPr>
        <w:spacing w:after="0" w:line="216" w:lineRule="exact"/>
        <w:rPr>
          <w:sz w:val="20"/>
          <w:szCs w:val="20"/>
          <w:color w:val="auto"/>
        </w:rPr>
      </w:pPr>
    </w:p>
    <w:p>
      <w:pPr>
        <w:ind w:right="260"/>
        <w:spacing w:after="0" w:line="251" w:lineRule="auto"/>
        <w:rPr>
          <w:sz w:val="20"/>
          <w:szCs w:val="20"/>
          <w:color w:val="auto"/>
        </w:rPr>
      </w:pPr>
      <w:r>
        <w:rPr>
          <w:rFonts w:ascii="Arial" w:cs="Arial" w:eastAsia="Arial" w:hAnsi="Arial"/>
          <w:sz w:val="20"/>
          <w:szCs w:val="20"/>
          <w:color w:val="auto"/>
        </w:rPr>
        <w:t>AbbVie is raising its adjusted diluted EPS guidance foor for the full year 2024 from $10.70 to $11.00, which excludes any impact from acquired IPR&amp;D and milestones, as both cannot be reliably forecasted. This is an update to guidance that was initally issued in February 2023 as part of AbbVie's fourth quarter 2022 earnings call. As a result of this update, AbbVie does not expect adjusted diluted EPS for full year 2024 to be below $11.00 per share. The company will issue its formal 2024 adjusted diluted EPS guidance range in conjuncton with fourth quarter 2023 results.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Declares Dividend Increase of 4.7 Percent</w:t>
      </w:r>
    </w:p>
    <w:p>
      <w:pPr>
        <w:spacing w:after="0" w:line="202" w:lineRule="exact"/>
        <w:rPr>
          <w:sz w:val="20"/>
          <w:szCs w:val="20"/>
          <w:color w:val="auto"/>
        </w:rPr>
      </w:pPr>
    </w:p>
    <w:p>
      <w:pPr>
        <w:ind w:right="80"/>
        <w:spacing w:after="0" w:line="252" w:lineRule="auto"/>
        <w:rPr>
          <w:sz w:val="20"/>
          <w:szCs w:val="20"/>
          <w:color w:val="auto"/>
        </w:rPr>
      </w:pPr>
      <w:r>
        <w:rPr>
          <w:rFonts w:ascii="Arial" w:cs="Arial" w:eastAsia="Arial" w:hAnsi="Arial"/>
          <w:sz w:val="20"/>
          <w:szCs w:val="20"/>
          <w:color w:val="auto"/>
        </w:rPr>
        <w:t>AbbVie is announcing today that its board of directors declared an increase in the company’s quarterly cash dividend from $1.48 per share to $1.55 per share beginning with the dividend payable on February 15, 2024 to shareholders of record as of January 16, 2024. This refects an increase of approximately 4.7 percent, contnuing AbbVie’s strong commitment to returning cash to shareholders through a growing dividend. Since the company's incepton in 2013, AbbVie has increased its quarterly dividend by more than 285 percent. AbbVie is a member of the S&amp;P Dividend Aristocrats Index, which tracks companies that have annually increased their dividend for at least 25 consecutve years.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AbbVie</w:t>
      </w:r>
    </w:p>
    <w:p>
      <w:pPr>
        <w:spacing w:after="0" w:line="243"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 xml:space="preserve">AbbVie's mission is to discover and deliver innovatve medicines that solve serious health issues today and address the medical challenges of tomorrow. We strive to have a remarkable impact on people's lives across several key therapeutc areas: immunology, oncology, neuroscience and eye care - and products and services across our Allergan Aesthetcs portolio. For more informaton about AbbVie, please visit us at </w:t>
      </w:r>
      <w:r>
        <w:rPr>
          <w:rFonts w:ascii="Arial" w:cs="Arial" w:eastAsia="Arial" w:hAnsi="Arial"/>
          <w:sz w:val="18"/>
          <w:szCs w:val="18"/>
          <w:u w:val="single" w:color="auto"/>
          <w:color w:val="0000FF"/>
        </w:rPr>
        <w:t>www.abbvie.com</w:t>
      </w:r>
      <w:r>
        <w:rPr>
          <w:rFonts w:ascii="Arial" w:cs="Arial" w:eastAsia="Arial" w:hAnsi="Arial"/>
          <w:sz w:val="18"/>
          <w:szCs w:val="18"/>
          <w:color w:val="auto"/>
        </w:rPr>
        <w:t xml:space="preserve">. Follow </w:t>
      </w:r>
      <w:r>
        <w:rPr>
          <w:rFonts w:ascii="Arial" w:cs="Arial" w:eastAsia="Arial" w:hAnsi="Arial"/>
          <w:sz w:val="18"/>
          <w:szCs w:val="18"/>
          <w:u w:val="single" w:color="auto"/>
          <w:color w:val="0000FF"/>
        </w:rPr>
        <w:t>@abbvie</w:t>
      </w:r>
      <w:r>
        <w:rPr>
          <w:rFonts w:ascii="Arial" w:cs="Arial" w:eastAsia="Arial" w:hAnsi="Arial"/>
          <w:sz w:val="18"/>
          <w:szCs w:val="18"/>
          <w:color w:val="auto"/>
        </w:rPr>
        <w:t xml:space="preserve"> on X (formerly Twiter), </w:t>
      </w:r>
      <w:r>
        <w:rPr>
          <w:rFonts w:ascii="Arial" w:cs="Arial" w:eastAsia="Arial" w:hAnsi="Arial"/>
          <w:sz w:val="18"/>
          <w:szCs w:val="18"/>
          <w:u w:val="single" w:color="auto"/>
          <w:color w:val="0000FF"/>
        </w:rPr>
        <w:t>Facebook, Instagram</w:t>
      </w:r>
      <w:r>
        <w:rPr>
          <w:rFonts w:ascii="Arial" w:cs="Arial" w:eastAsia="Arial" w:hAnsi="Arial"/>
          <w:sz w:val="18"/>
          <w:szCs w:val="18"/>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YouTube</w:t>
      </w:r>
      <w:r>
        <w:rPr>
          <w:rFonts w:ascii="Arial" w:cs="Arial" w:eastAsia="Arial" w:hAnsi="Arial"/>
          <w:sz w:val="18"/>
          <w:szCs w:val="18"/>
          <w:color w:val="auto"/>
        </w:rPr>
        <w:t xml:space="preserve"> or </w:t>
      </w:r>
      <w:r>
        <w:rPr>
          <w:rFonts w:ascii="Arial" w:cs="Arial" w:eastAsia="Arial" w:hAnsi="Arial"/>
          <w:sz w:val="18"/>
          <w:szCs w:val="18"/>
          <w:u w:val="single" w:color="auto"/>
          <w:color w:val="0000FF"/>
        </w:rPr>
        <w:t>LinkedIn</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43"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 xml:space="preserve">AbbVie will host an investor conference call today at 8:00 a.m. Central Time to discuss our third-quarter performance. The call will be webcast through AbbVie’s Investor Relatons website at </w:t>
      </w:r>
      <w:r>
        <w:rPr>
          <w:rFonts w:ascii="Arial" w:cs="Arial" w:eastAsia="Arial" w:hAnsi="Arial"/>
          <w:sz w:val="20"/>
          <w:szCs w:val="20"/>
          <w:u w:val="single" w:color="auto"/>
          <w:color w:val="0000FF"/>
        </w:rPr>
        <w:t>investors.abbvie.com</w:t>
      </w:r>
      <w:r>
        <w:rPr>
          <w:rFonts w:ascii="Arial" w:cs="Arial" w:eastAsia="Arial" w:hAnsi="Arial"/>
          <w:sz w:val="20"/>
          <w:szCs w:val="20"/>
          <w:color w:val="auto"/>
        </w:rPr>
        <w:t>. An archived editon of the call will be available afer 11:00 a.m. Central Time.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Results</w:t>
      </w:r>
    </w:p>
    <w:p>
      <w:pPr>
        <w:spacing w:after="0" w:line="229"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Financial results for 2023 and 2022 are presented on both a reported and a non-GAAP basis. Reported results were prepared in accordance with GAAP and include all revenue and expenses recognized during the period. Non-GAAP results adjust for certain non-cash items and for factors that are unusual or unpredictable, and exclude those costs, expenses, and other specifed items presented in the reconciliaton tables later in this release. AbbVie’s management believes non-GAAP fnancial measures provide useful informaton to investors regarding AbbVie’s results of operatons and assist management, analysts, and investors in evaluatng the performance of the business. Non-GAAP fnancial measures should be considered in additon to, and not as a substtute for, measures of fnancial performance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911"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Forward-Looking Statements</w:t>
      </w:r>
    </w:p>
    <w:p>
      <w:pPr>
        <w:spacing w:after="0" w:line="243"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Some statements in this news release are, or may be considered, forward-looking statements for purposes of the Private Securites Litgaton Reform Act of 1995. The words "believe," "expect," "antcipate," "project" and similar expressions and uses of future or conditonal verbs, generally identfy forward-looking statements. AbbVie cautons that these forward-looking statements are subject to risks and uncertaintes that may cause actual results to difer materially from those expressed or implied in the forward-looking statements. Such risks and uncertaintes include, but are not limited to challenges to intellectual property, competton from other products, difcultes inherent in the research and development process, adverse litgaton or government acton, and changes to laws and regulatons applicable to our industry. Additonal informaton about the economic, compettve, governmental, technological and other factors that may afect AbbVie's operatons is set forth in Item 1A, "Risk Factors," of AbbVie's 2022 Annual Report on Form 10-K, which has been fled with the Securites and Exchange Commission, as updated by its Quarterly Reports on Form 10-Q and in other documents that AbbVie subsequently fles with the Securites and Exchange Commission that update, supplement or supersede such informaton. AbbVie undertakes no obligaton, and specifcally declines, to release publicly any revisions to forward-looking statements as a result of subsequent events or developments, except as required by law.</w:t>
      </w:r>
    </w:p>
    <w:p>
      <w:pPr>
        <w:sectPr>
          <w:pgSz w:w="11900" w:h="16838" w:orient="portrait"/>
          <w:cols w:equalWidth="0" w:num="1">
            <w:col w:w="11240"/>
          </w:cols>
          <w:pgMar w:left="320" w:top="898"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Media: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w:t>
      </w:r>
    </w:p>
    <w:p>
      <w:pPr>
        <w:spacing w:after="0" w:line="72" w:lineRule="exact"/>
        <w:rPr>
          <w:sz w:val="20"/>
          <w:szCs w:val="20"/>
          <w:color w:val="auto"/>
        </w:rPr>
      </w:pPr>
    </w:p>
    <w:p>
      <w:pPr>
        <w:sectPr>
          <w:pgSz w:w="11900" w:h="16838" w:orient="portrait"/>
          <w:cols w:equalWidth="0" w:num="2">
            <w:col w:w="3460" w:space="720"/>
            <w:col w:w="7060"/>
          </w:cols>
          <w:pgMar w:left="320" w:top="898"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Gabby Tarbert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(224) 244-0111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Liz Shea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(847) 935-2211</w:t>
      </w:r>
    </w:p>
    <w:p>
      <w:pPr>
        <w:spacing w:after="0" w:line="200" w:lineRule="exact"/>
        <w:rPr>
          <w:sz w:val="20"/>
          <w:szCs w:val="20"/>
          <w:color w:val="auto"/>
        </w:rPr>
      </w:pPr>
    </w:p>
    <w:p>
      <w:pPr>
        <w:sectPr>
          <w:pgSz w:w="11900" w:h="16838" w:orient="portrait"/>
          <w:cols w:equalWidth="0" w:num="2">
            <w:col w:w="3460" w:space="720"/>
            <w:col w:w="7060"/>
          </w:cols>
          <w:pgMar w:left="320" w:top="898" w:right="339" w:bottom="1440" w:gutter="0" w:footer="0" w:header="0"/>
          <w:type w:val="continuous"/>
        </w:sectPr>
      </w:pPr>
    </w:p>
    <w:p>
      <w:pPr>
        <w:spacing w:after="0" w:line="106"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Todd Bosse</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(847) 936-1182</w:t>
      </w:r>
    </w:p>
    <w:p>
      <w:pPr>
        <w:spacing w:after="0" w:line="306"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Jefrey Byrne</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(847) 938-2923</w:t>
      </w:r>
    </w:p>
    <w:p>
      <w:pPr>
        <w:sectPr>
          <w:pgSz w:w="11900" w:h="16838" w:orient="portrait"/>
          <w:cols w:equalWidth="0" w:num="1">
            <w:col w:w="11240"/>
          </w:cols>
          <w:pgMar w:left="320" w:top="8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98"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AbbVie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Key Product Revenues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Ended September 30, 2023</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244"/>
        </w:trPr>
        <w:tc>
          <w:tcPr>
            <w:tcW w:w="3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w w:val="85"/>
              </w:rPr>
              <w:t>% Change vs. 3Q22</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8"/>
                <w:szCs w:val="18"/>
                <w:b w:val="1"/>
                <w:bCs w:val="1"/>
                <w:color w:val="auto"/>
                <w:w w:val="87"/>
              </w:rPr>
              <w:t>Net Revenues (in millions)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Reported</w:t>
            </w: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5"/>
          </w:tcPr>
          <w:p>
            <w:pPr>
              <w:ind w:left="160"/>
              <w:spacing w:after="0" w:line="230" w:lineRule="exact"/>
              <w:rPr>
                <w:sz w:val="20"/>
                <w:szCs w:val="20"/>
                <w:color w:val="auto"/>
              </w:rPr>
            </w:pPr>
            <w:r>
              <w:rPr>
                <w:rFonts w:ascii="Arial" w:cs="Arial" w:eastAsia="Arial" w:hAnsi="Arial"/>
                <w:sz w:val="18"/>
                <w:szCs w:val="18"/>
                <w:b w:val="1"/>
                <w:bCs w:val="1"/>
                <w:color w:val="auto"/>
              </w:rPr>
              <w:t>Operatonal</w:t>
            </w:r>
            <w:r>
              <w:rPr>
                <w:rFonts w:ascii="Arial" w:cs="Arial" w:eastAsia="Arial" w:hAnsi="Arial"/>
                <w:sz w:val="23"/>
                <w:szCs w:val="23"/>
                <w:b w:val="1"/>
                <w:bCs w:val="1"/>
                <w:color w:val="auto"/>
                <w:vertAlign w:val="superscript"/>
              </w:rPr>
              <w: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line="169" w:lineRule="exact"/>
              <w:rPr>
                <w:sz w:val="20"/>
                <w:szCs w:val="20"/>
                <w:color w:val="auto"/>
              </w:rPr>
            </w:pPr>
            <w:r>
              <w:rPr>
                <w:rFonts w:ascii="Arial" w:cs="Arial" w:eastAsia="Arial" w:hAnsi="Arial"/>
                <w:sz w:val="18"/>
                <w:szCs w:val="18"/>
                <w:b w:val="1"/>
                <w:bCs w:val="1"/>
                <w:color w:val="auto"/>
                <w:w w:val="79"/>
              </w:rPr>
              <w:t>U.S.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7"/>
              </w:rPr>
              <w:t>Int’l.</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jc w:val="right"/>
              <w:ind w:right="300"/>
              <w:spacing w:after="0" w:line="169" w:lineRule="exact"/>
              <w:rPr>
                <w:sz w:val="20"/>
                <w:szCs w:val="20"/>
                <w:color w:val="auto"/>
              </w:rPr>
            </w:pPr>
            <w:r>
              <w:rPr>
                <w:rFonts w:ascii="Arial" w:cs="Arial" w:eastAsia="Arial" w:hAnsi="Arial"/>
                <w:sz w:val="18"/>
                <w:szCs w:val="18"/>
                <w:b w:val="1"/>
                <w:bCs w:val="1"/>
                <w:color w:val="auto"/>
                <w:w w:val="74"/>
              </w:rPr>
              <w:t>U.S.</w:t>
            </w:r>
          </w:p>
        </w:tc>
        <w:tc>
          <w:tcPr>
            <w:tcW w:w="1040" w:type="dxa"/>
            <w:vAlign w:val="bottom"/>
            <w:gridSpan w:val="3"/>
          </w:tcPr>
          <w:p>
            <w:pPr>
              <w:jc w:val="center"/>
              <w:spacing w:after="0" w:line="169" w:lineRule="exact"/>
              <w:rPr>
                <w:sz w:val="20"/>
                <w:szCs w:val="20"/>
                <w:color w:val="auto"/>
              </w:rPr>
            </w:pPr>
            <w:r>
              <w:rPr>
                <w:rFonts w:ascii="Arial" w:cs="Arial" w:eastAsia="Arial" w:hAnsi="Arial"/>
                <w:sz w:val="18"/>
                <w:szCs w:val="18"/>
                <w:b w:val="1"/>
                <w:bCs w:val="1"/>
                <w:color w:val="auto"/>
                <w:w w:val="93"/>
              </w:rPr>
              <w:t>Int'l.</w:t>
            </w:r>
          </w:p>
        </w:tc>
        <w:tc>
          <w:tcPr>
            <w:tcW w:w="260" w:type="dxa"/>
            <w:vAlign w:val="bottom"/>
          </w:tcPr>
          <w:p>
            <w:pPr>
              <w:spacing w:after="0"/>
              <w:rPr>
                <w:sz w:val="14"/>
                <w:szCs w:val="14"/>
                <w:color w:val="auto"/>
              </w:rPr>
            </w:pPr>
          </w:p>
        </w:tc>
        <w:tc>
          <w:tcPr>
            <w:tcW w:w="60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3"/>
              </w:rPr>
              <w:t>Total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ind w:left="80"/>
              <w:spacing w:after="0" w:line="169" w:lineRule="exact"/>
              <w:rPr>
                <w:sz w:val="20"/>
                <w:szCs w:val="20"/>
                <w:color w:val="auto"/>
              </w:rPr>
            </w:pPr>
            <w:r>
              <w:rPr>
                <w:rFonts w:ascii="Arial" w:cs="Arial" w:eastAsia="Arial" w:hAnsi="Arial"/>
                <w:sz w:val="18"/>
                <w:szCs w:val="18"/>
                <w:b w:val="1"/>
                <w:bCs w:val="1"/>
                <w:color w:val="auto"/>
              </w:rPr>
              <w:t>Int'l.</w:t>
            </w:r>
          </w:p>
        </w:tc>
        <w:tc>
          <w:tcPr>
            <w:tcW w:w="280" w:type="dxa"/>
            <w:vAlign w:val="bottom"/>
          </w:tcPr>
          <w:p>
            <w:pPr>
              <w:spacing w:after="0"/>
              <w:rPr>
                <w:sz w:val="14"/>
                <w:szCs w:val="14"/>
                <w:color w:val="auto"/>
              </w:rPr>
            </w:pPr>
          </w:p>
        </w:tc>
        <w:tc>
          <w:tcPr>
            <w:tcW w:w="60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88"/>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NET REVENUES</w:t>
            </w: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2"/>
              </w:rPr>
              <w:t>$10,852</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0"/>
              </w:rPr>
              <w:t>$3,075</w:t>
            </w:r>
          </w:p>
        </w:tc>
        <w:tc>
          <w:tcPr>
            <w:tcW w:w="9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2"/>
              </w:rPr>
              <w:t>$13,927</w:t>
            </w:r>
          </w:p>
        </w:tc>
        <w:tc>
          <w:tcPr>
            <w:tcW w:w="20" w:type="dxa"/>
            <w:vAlign w:val="bottom"/>
          </w:tcPr>
          <w:p>
            <w:pPr>
              <w:spacing w:after="0"/>
              <w:rPr>
                <w:sz w:val="2"/>
                <w:szCs w:val="2"/>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90"/>
              </w:rPr>
              <w:t>(7.7)%</w:t>
            </w:r>
          </w:p>
        </w:tc>
        <w:tc>
          <w:tcPr>
            <w:tcW w:w="10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87"/>
              </w:rPr>
              <w:t>0.8%</w:t>
            </w:r>
          </w:p>
        </w:tc>
        <w:tc>
          <w:tcPr>
            <w:tcW w:w="86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0"/>
              </w:rPr>
              <w:t>(6.0)%</w:t>
            </w: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87"/>
              </w:rPr>
              <w:t>1.4%</w:t>
            </w:r>
          </w:p>
        </w:tc>
        <w:tc>
          <w:tcPr>
            <w:tcW w:w="8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86"/>
              </w:rPr>
              <w:t>(5.8)%</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40" w:type="dxa"/>
            <w:vAlign w:val="bottom"/>
            <w:gridSpan w:val="4"/>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640" w:type="dxa"/>
            <w:vAlign w:val="bottom"/>
          </w:tcPr>
          <w:p>
            <w:pPr>
              <w:spacing w:after="0"/>
              <w:rPr>
                <w:sz w:val="20"/>
                <w:szCs w:val="20"/>
                <w:color w:val="auto"/>
              </w:rPr>
            </w:pPr>
            <w:r>
              <w:rPr>
                <w:rFonts w:ascii="Arial" w:cs="Arial" w:eastAsia="Arial" w:hAnsi="Arial"/>
                <w:sz w:val="18"/>
                <w:szCs w:val="18"/>
                <w:b w:val="1"/>
                <w:bCs w:val="1"/>
                <w:color w:val="auto"/>
              </w:rPr>
              <w:t>Immunology</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5,696</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1,087</w:t>
            </w: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6,783</w:t>
            </w: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(14.7)</w:t>
            </w:r>
          </w:p>
        </w:tc>
        <w:tc>
          <w:tcPr>
            <w:tcW w:w="68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1"/>
              </w:rPr>
              <w:t>12.1</w:t>
            </w:r>
          </w:p>
        </w:tc>
        <w:tc>
          <w:tcPr>
            <w:tcW w:w="360" w:type="dxa"/>
            <w:vAlign w:val="bottom"/>
          </w:tcPr>
          <w:p>
            <w:pPr>
              <w:spacing w:after="0"/>
              <w:rPr>
                <w:sz w:val="24"/>
                <w:szCs w:val="24"/>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(11.3)</w:t>
            </w:r>
          </w:p>
        </w:tc>
        <w:tc>
          <w:tcPr>
            <w:tcW w:w="12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1"/>
              </w:rPr>
              <w:t>11.9</w:t>
            </w:r>
          </w:p>
        </w:tc>
        <w:tc>
          <w:tcPr>
            <w:tcW w:w="300" w:type="dxa"/>
            <w:vAlign w:val="bottom"/>
          </w:tcPr>
          <w:p>
            <w:pPr>
              <w:spacing w:after="0"/>
              <w:rPr>
                <w:sz w:val="24"/>
                <w:szCs w:val="24"/>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(11.3)</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640" w:type="dxa"/>
            <w:vAlign w:val="bottom"/>
          </w:tcPr>
          <w:p>
            <w:pPr>
              <w:ind w:left="200"/>
              <w:spacing w:after="0"/>
              <w:rPr>
                <w:sz w:val="20"/>
                <w:szCs w:val="20"/>
                <w:color w:val="auto"/>
              </w:rPr>
            </w:pPr>
            <w:r>
              <w:rPr>
                <w:rFonts w:ascii="Arial" w:cs="Arial" w:eastAsia="Arial" w:hAnsi="Arial"/>
                <w:sz w:val="18"/>
                <w:szCs w:val="18"/>
                <w:color w:val="auto"/>
              </w:rPr>
              <w:t>Humira</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color w:val="auto"/>
                <w:w w:val="93"/>
              </w:rPr>
              <w:t>3,020</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527</w:t>
            </w:r>
          </w:p>
        </w:tc>
        <w:tc>
          <w:tcPr>
            <w:tcW w:w="280" w:type="dxa"/>
            <w:vAlign w:val="bottom"/>
          </w:tcPr>
          <w:p>
            <w:pPr>
              <w:spacing w:after="0"/>
              <w:rPr>
                <w:sz w:val="19"/>
                <w:szCs w:val="19"/>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88"/>
              </w:rPr>
              <w:t>3,547</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93"/>
              </w:rPr>
              <w:t>(39.1)</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3"/>
              </w:rPr>
              <w:t>(12.6)</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3"/>
              </w:rPr>
              <w:t>(36.2)</w:t>
            </w: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(12.2)</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9"/>
              </w:rPr>
              <w:t>(36.2)</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Skyrizi</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color w:val="auto"/>
                <w:w w:val="93"/>
              </w:rPr>
              <w:t>1,875</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251</w:t>
            </w:r>
          </w:p>
        </w:tc>
        <w:tc>
          <w:tcPr>
            <w:tcW w:w="280" w:type="dxa"/>
            <w:vAlign w:val="bottom"/>
          </w:tcPr>
          <w:p>
            <w:pPr>
              <w:spacing w:after="0"/>
              <w:rPr>
                <w:sz w:val="19"/>
                <w:szCs w:val="19"/>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88"/>
              </w:rPr>
              <w:t>2,126</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91"/>
              </w:rPr>
              <w:t>53.5</w:t>
            </w:r>
          </w:p>
        </w:tc>
        <w:tc>
          <w:tcPr>
            <w:tcW w:w="68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42.5</w:t>
            </w:r>
          </w:p>
        </w:tc>
        <w:tc>
          <w:tcPr>
            <w:tcW w:w="36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52.1</w:t>
            </w:r>
          </w:p>
        </w:tc>
        <w:tc>
          <w:tcPr>
            <w:tcW w:w="24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40.7</w:t>
            </w:r>
          </w:p>
        </w:tc>
        <w:tc>
          <w:tcPr>
            <w:tcW w:w="30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51.9</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Rinvoq</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801</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309</w:t>
            </w:r>
          </w:p>
        </w:tc>
        <w:tc>
          <w:tcPr>
            <w:tcW w:w="280" w:type="dxa"/>
            <w:vAlign w:val="bottom"/>
          </w:tcPr>
          <w:p>
            <w:pPr>
              <w:spacing w:after="0"/>
              <w:rPr>
                <w:sz w:val="19"/>
                <w:szCs w:val="19"/>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88"/>
              </w:rPr>
              <w:t>1,110</w:t>
            </w: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91"/>
              </w:rPr>
              <w:t>59.0</w:t>
            </w:r>
          </w:p>
        </w:tc>
        <w:tc>
          <w:tcPr>
            <w:tcW w:w="68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61.8</w:t>
            </w:r>
          </w:p>
        </w:tc>
        <w:tc>
          <w:tcPr>
            <w:tcW w:w="36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59.8</w:t>
            </w:r>
          </w:p>
        </w:tc>
        <w:tc>
          <w:tcPr>
            <w:tcW w:w="24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61.2</w:t>
            </w:r>
          </w:p>
        </w:tc>
        <w:tc>
          <w:tcPr>
            <w:tcW w:w="30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59.6</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640" w:type="dxa"/>
            <w:vAlign w:val="bottom"/>
          </w:tcPr>
          <w:p>
            <w:pPr>
              <w:spacing w:after="0"/>
              <w:rPr>
                <w:sz w:val="20"/>
                <w:szCs w:val="20"/>
                <w:color w:val="auto"/>
              </w:rPr>
            </w:pPr>
            <w:r>
              <w:rPr>
                <w:rFonts w:ascii="Arial" w:cs="Arial" w:eastAsia="Arial" w:hAnsi="Arial"/>
                <w:sz w:val="18"/>
                <w:szCs w:val="18"/>
                <w:b w:val="1"/>
                <w:bCs w:val="1"/>
                <w:color w:val="auto"/>
              </w:rPr>
              <w:t>Oncology</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3"/>
              </w:rPr>
              <w:t>973</w:t>
            </w:r>
          </w:p>
        </w:tc>
        <w:tc>
          <w:tcPr>
            <w:tcW w:w="340" w:type="dxa"/>
            <w:vAlign w:val="bottom"/>
          </w:tcPr>
          <w:p>
            <w:pPr>
              <w:spacing w:after="0"/>
              <w:rPr>
                <w:sz w:val="24"/>
                <w:szCs w:val="24"/>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3"/>
              </w:rPr>
              <w:t>539</w:t>
            </w:r>
          </w:p>
        </w:tc>
        <w:tc>
          <w:tcPr>
            <w:tcW w:w="28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1,512</w:t>
            </w: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(12.3)</w:t>
            </w: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(0.4)</w:t>
            </w:r>
          </w:p>
        </w:tc>
        <w:tc>
          <w:tcPr>
            <w:tcW w:w="6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1"/>
              </w:rPr>
              <w:t>(8.4)</w:t>
            </w:r>
          </w:p>
        </w:tc>
        <w:tc>
          <w:tcPr>
            <w:tcW w:w="24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(1.0)</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1"/>
              </w:rPr>
              <w:t>(8.6)</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line="230" w:lineRule="exact"/>
              <w:rPr>
                <w:sz w:val="20"/>
                <w:szCs w:val="20"/>
                <w:color w:val="auto"/>
              </w:rPr>
            </w:pPr>
            <w:r>
              <w:rPr>
                <w:rFonts w:ascii="Arial" w:cs="Arial" w:eastAsia="Arial" w:hAnsi="Arial"/>
                <w:sz w:val="18"/>
                <w:szCs w:val="18"/>
                <w:color w:val="auto"/>
              </w:rPr>
              <w:t>Imbruvica</w:t>
            </w:r>
            <w:r>
              <w:rPr>
                <w:rFonts w:ascii="Arial" w:cs="Arial" w:eastAsia="Arial" w:hAnsi="Arial"/>
                <w:sz w:val="23"/>
                <w:szCs w:val="23"/>
                <w:color w:val="auto"/>
                <w:vertAlign w:val="superscript"/>
              </w:rPr>
              <w:t>b</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678</w:t>
            </w:r>
          </w:p>
        </w:tc>
        <w:tc>
          <w:tcPr>
            <w:tcW w:w="340" w:type="dxa"/>
            <w:vAlign w:val="bottom"/>
          </w:tcPr>
          <w:p>
            <w:pPr>
              <w:spacing w:after="0"/>
              <w:rPr>
                <w:sz w:val="20"/>
                <w:szCs w:val="20"/>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230</w:t>
            </w:r>
          </w:p>
        </w:tc>
        <w:tc>
          <w:tcPr>
            <w:tcW w:w="280" w:type="dxa"/>
            <w:vAlign w:val="bottom"/>
          </w:tcPr>
          <w:p>
            <w:pPr>
              <w:spacing w:after="0"/>
              <w:rPr>
                <w:sz w:val="20"/>
                <w:szCs w:val="20"/>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908</w:t>
            </w:r>
          </w:p>
        </w:tc>
        <w:tc>
          <w:tcPr>
            <w:tcW w:w="2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93"/>
              </w:rPr>
              <w:t>(20.2)</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3"/>
              </w:rPr>
              <w:t>(19.6)</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3"/>
              </w:rPr>
              <w:t>(20.0)</w:t>
            </w:r>
          </w:p>
        </w:tc>
        <w:tc>
          <w:tcPr>
            <w:tcW w:w="12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(19.6)</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9"/>
              </w:rPr>
              <w:t>(20.0)</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640" w:type="dxa"/>
            <w:vAlign w:val="bottom"/>
          </w:tcPr>
          <w:p>
            <w:pPr>
              <w:ind w:left="200"/>
              <w:spacing w:after="0"/>
              <w:rPr>
                <w:sz w:val="20"/>
                <w:szCs w:val="20"/>
                <w:color w:val="auto"/>
              </w:rPr>
            </w:pPr>
            <w:r>
              <w:rPr>
                <w:rFonts w:ascii="Arial" w:cs="Arial" w:eastAsia="Arial" w:hAnsi="Arial"/>
                <w:sz w:val="18"/>
                <w:szCs w:val="18"/>
                <w:color w:val="auto"/>
              </w:rPr>
              <w:t>Venclexta</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281</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309</w:t>
            </w:r>
          </w:p>
        </w:tc>
        <w:tc>
          <w:tcPr>
            <w:tcW w:w="28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590</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4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8.1</w:t>
            </w:r>
          </w:p>
        </w:tc>
        <w:tc>
          <w:tcPr>
            <w:tcW w:w="300" w:type="dxa"/>
            <w:vAlign w:val="bottom"/>
          </w:tcPr>
          <w:p>
            <w:pPr>
              <w:spacing w:after="0"/>
              <w:rPr>
                <w:sz w:val="19"/>
                <w:szCs w:val="19"/>
                <w:color w:val="auto"/>
              </w:rPr>
            </w:pPr>
          </w:p>
        </w:tc>
        <w:tc>
          <w:tcPr>
            <w:tcW w:w="68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21.1</w:t>
            </w:r>
          </w:p>
        </w:tc>
        <w:tc>
          <w:tcPr>
            <w:tcW w:w="36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14.6</w:t>
            </w:r>
          </w:p>
        </w:tc>
        <w:tc>
          <w:tcPr>
            <w:tcW w:w="24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19.9</w:t>
            </w:r>
          </w:p>
        </w:tc>
        <w:tc>
          <w:tcPr>
            <w:tcW w:w="30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14.0</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640" w:type="dxa"/>
            <w:vAlign w:val="bottom"/>
          </w:tcPr>
          <w:p>
            <w:pPr>
              <w:ind w:left="200"/>
              <w:spacing w:after="0"/>
              <w:rPr>
                <w:sz w:val="20"/>
                <w:szCs w:val="20"/>
                <w:color w:val="auto"/>
              </w:rPr>
            </w:pPr>
            <w:r>
              <w:rPr>
                <w:rFonts w:ascii="Arial" w:cs="Arial" w:eastAsia="Arial" w:hAnsi="Arial"/>
                <w:sz w:val="18"/>
                <w:szCs w:val="18"/>
                <w:color w:val="auto"/>
              </w:rPr>
              <w:t>Epkinly</w:t>
            </w:r>
            <w:r>
              <w:rPr>
                <w:rFonts w:ascii="Arial" w:cs="Arial" w:eastAsia="Arial" w:hAnsi="Arial"/>
                <w:sz w:val="23"/>
                <w:szCs w:val="23"/>
                <w:color w:val="auto"/>
                <w:vertAlign w:val="superscript"/>
              </w:rPr>
              <w:t>c</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14</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w:t>
            </w:r>
          </w:p>
        </w:tc>
        <w:tc>
          <w:tcPr>
            <w:tcW w:w="68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14</w:t>
            </w:r>
          </w:p>
        </w:tc>
        <w:tc>
          <w:tcPr>
            <w:tcW w:w="2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4"/>
                <w:szCs w:val="24"/>
                <w:color w:val="auto"/>
              </w:rPr>
            </w:pPr>
          </w:p>
        </w:tc>
        <w:tc>
          <w:tcPr>
            <w:tcW w:w="700" w:type="dxa"/>
            <w:vAlign w:val="bottom"/>
            <w:gridSpan w:val="2"/>
          </w:tcPr>
          <w:p>
            <w:pPr>
              <w:jc w:val="center"/>
              <w:ind w:right="25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4"/>
                <w:szCs w:val="24"/>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8"/>
                <w:szCs w:val="18"/>
                <w:color w:val="auto"/>
              </w:rPr>
              <w:t>n/m</w:t>
            </w:r>
          </w:p>
        </w:tc>
        <w:tc>
          <w:tcPr>
            <w:tcW w:w="12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4"/>
                <w:szCs w:val="2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n/m</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640" w:type="dxa"/>
            <w:vAlign w:val="bottom"/>
          </w:tcPr>
          <w:p>
            <w:pPr>
              <w:spacing w:after="0"/>
              <w:rPr>
                <w:sz w:val="20"/>
                <w:szCs w:val="20"/>
                <w:color w:val="auto"/>
              </w:rPr>
            </w:pPr>
            <w:r>
              <w:rPr>
                <w:rFonts w:ascii="Arial" w:cs="Arial" w:eastAsia="Arial" w:hAnsi="Arial"/>
                <w:sz w:val="18"/>
                <w:szCs w:val="18"/>
                <w:b w:val="1"/>
                <w:bCs w:val="1"/>
                <w:color w:val="auto"/>
              </w:rPr>
              <w:t>Aesthetcs</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3"/>
              </w:rPr>
              <w:t>759</w:t>
            </w:r>
          </w:p>
        </w:tc>
        <w:tc>
          <w:tcPr>
            <w:tcW w:w="340" w:type="dxa"/>
            <w:vAlign w:val="bottom"/>
          </w:tcPr>
          <w:p>
            <w:pPr>
              <w:spacing w:after="0"/>
              <w:rPr>
                <w:sz w:val="20"/>
                <w:szCs w:val="20"/>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3"/>
              </w:rPr>
              <w:t>480</w:t>
            </w:r>
          </w:p>
        </w:tc>
        <w:tc>
          <w:tcPr>
            <w:tcW w:w="280" w:type="dxa"/>
            <w:vAlign w:val="bottom"/>
          </w:tcPr>
          <w:p>
            <w:pPr>
              <w:spacing w:after="0"/>
              <w:rPr>
                <w:sz w:val="20"/>
                <w:szCs w:val="20"/>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1,239</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t>
            </w: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(11.4)</w:t>
            </w:r>
          </w:p>
        </w:tc>
        <w:tc>
          <w:tcPr>
            <w:tcW w:w="6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1"/>
              </w:rPr>
              <w:t>(4.7)</w:t>
            </w:r>
          </w:p>
        </w:tc>
        <w:tc>
          <w:tcPr>
            <w:tcW w:w="24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(9.7)</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1"/>
              </w:rPr>
              <w:t>(4.0)</w:t>
            </w:r>
          </w:p>
        </w:tc>
        <w:tc>
          <w:tcPr>
            <w:tcW w:w="2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640" w:type="dxa"/>
            <w:vAlign w:val="bottom"/>
          </w:tcPr>
          <w:p>
            <w:pPr>
              <w:ind w:left="200"/>
              <w:spacing w:after="0"/>
              <w:rPr>
                <w:sz w:val="20"/>
                <w:szCs w:val="20"/>
                <w:color w:val="auto"/>
              </w:rPr>
            </w:pPr>
            <w:r>
              <w:rPr>
                <w:rFonts w:ascii="Arial" w:cs="Arial" w:eastAsia="Arial" w:hAnsi="Arial"/>
                <w:sz w:val="18"/>
                <w:szCs w:val="18"/>
                <w:color w:val="auto"/>
              </w:rPr>
              <w:t>Botox Cosmetc</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388</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232</w:t>
            </w:r>
          </w:p>
        </w:tc>
        <w:tc>
          <w:tcPr>
            <w:tcW w:w="28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620</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4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5.0</w:t>
            </w:r>
          </w:p>
        </w:tc>
        <w:tc>
          <w:tcPr>
            <w:tcW w:w="300" w:type="dxa"/>
            <w:vAlign w:val="bottom"/>
          </w:tcPr>
          <w:p>
            <w:pPr>
              <w:spacing w:after="0"/>
              <w:rPr>
                <w:sz w:val="19"/>
                <w:szCs w:val="19"/>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3"/>
              </w:rPr>
              <w:t>(13.3)</w:t>
            </w: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(2.7)</w:t>
            </w:r>
          </w:p>
        </w:tc>
        <w:tc>
          <w:tcPr>
            <w:tcW w:w="24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(10.9)</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(1.7)</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Juvederm Collecton</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116</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205</w:t>
            </w:r>
          </w:p>
        </w:tc>
        <w:tc>
          <w:tcPr>
            <w:tcW w:w="28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321</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86"/>
              </w:rPr>
              <w:t>(6.4)</w:t>
            </w:r>
          </w:p>
        </w:tc>
        <w:tc>
          <w:tcPr>
            <w:tcW w:w="680" w:type="dxa"/>
            <w:vAlign w:val="bottom"/>
            <w:gridSpan w:val="2"/>
          </w:tcPr>
          <w:p>
            <w:pPr>
              <w:jc w:val="center"/>
              <w:ind w:left="270"/>
              <w:spacing w:after="0"/>
              <w:rPr>
                <w:sz w:val="20"/>
                <w:szCs w:val="20"/>
                <w:color w:val="auto"/>
              </w:rPr>
            </w:pPr>
            <w:r>
              <w:rPr>
                <w:rFonts w:ascii="Arial" w:cs="Arial" w:eastAsia="Arial" w:hAnsi="Arial"/>
                <w:sz w:val="18"/>
                <w:szCs w:val="18"/>
                <w:color w:val="auto"/>
                <w:w w:val="86"/>
              </w:rPr>
              <w:t>(9.8)</w:t>
            </w:r>
          </w:p>
        </w:tc>
        <w:tc>
          <w:tcPr>
            <w:tcW w:w="360" w:type="dxa"/>
            <w:vAlign w:val="bottom"/>
          </w:tcPr>
          <w:p>
            <w:pPr>
              <w:spacing w:after="0"/>
              <w:rPr>
                <w:sz w:val="19"/>
                <w:szCs w:val="19"/>
                <w:color w:val="auto"/>
              </w:rPr>
            </w:pP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(8.6)</w:t>
            </w:r>
          </w:p>
        </w:tc>
        <w:tc>
          <w:tcPr>
            <w:tcW w:w="24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1"/>
              </w:rPr>
              <w:t>(8.7)</w:t>
            </w:r>
          </w:p>
        </w:tc>
        <w:tc>
          <w:tcPr>
            <w:tcW w:w="30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(7.9)</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Other Aesthetcs</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255</w:t>
            </w:r>
          </w:p>
        </w:tc>
        <w:tc>
          <w:tcPr>
            <w:tcW w:w="34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43</w:t>
            </w:r>
          </w:p>
        </w:tc>
        <w:tc>
          <w:tcPr>
            <w:tcW w:w="28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298</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86"/>
              </w:rPr>
              <w:t>(4.0)</w:t>
            </w:r>
          </w:p>
        </w:tc>
        <w:tc>
          <w:tcPr>
            <w:tcW w:w="680" w:type="dxa"/>
            <w:vAlign w:val="bottom"/>
            <w:gridSpan w:val="2"/>
          </w:tcPr>
          <w:p>
            <w:pPr>
              <w:jc w:val="center"/>
              <w:ind w:left="270"/>
              <w:spacing w:after="0"/>
              <w:rPr>
                <w:sz w:val="20"/>
                <w:szCs w:val="20"/>
                <w:color w:val="auto"/>
              </w:rPr>
            </w:pPr>
            <w:r>
              <w:rPr>
                <w:rFonts w:ascii="Arial" w:cs="Arial" w:eastAsia="Arial" w:hAnsi="Arial"/>
                <w:sz w:val="18"/>
                <w:szCs w:val="18"/>
                <w:color w:val="auto"/>
                <w:w w:val="86"/>
              </w:rPr>
              <w:t>(8.1)</w:t>
            </w:r>
          </w:p>
        </w:tc>
        <w:tc>
          <w:tcPr>
            <w:tcW w:w="360" w:type="dxa"/>
            <w:vAlign w:val="bottom"/>
          </w:tcPr>
          <w:p>
            <w:pPr>
              <w:spacing w:after="0"/>
              <w:rPr>
                <w:sz w:val="19"/>
                <w:szCs w:val="19"/>
                <w:color w:val="auto"/>
              </w:rPr>
            </w:pP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(4.6)</w:t>
            </w:r>
          </w:p>
        </w:tc>
        <w:tc>
          <w:tcPr>
            <w:tcW w:w="24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1"/>
              </w:rPr>
              <w:t>(7.0)</w:t>
            </w:r>
          </w:p>
        </w:tc>
        <w:tc>
          <w:tcPr>
            <w:tcW w:w="30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(4.4)</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640" w:type="dxa"/>
            <w:vAlign w:val="bottom"/>
          </w:tcPr>
          <w:p>
            <w:pPr>
              <w:spacing w:after="0"/>
              <w:rPr>
                <w:sz w:val="20"/>
                <w:szCs w:val="20"/>
                <w:color w:val="auto"/>
              </w:rPr>
            </w:pPr>
            <w:r>
              <w:rPr>
                <w:rFonts w:ascii="Arial" w:cs="Arial" w:eastAsia="Arial" w:hAnsi="Arial"/>
                <w:sz w:val="18"/>
                <w:szCs w:val="18"/>
                <w:b w:val="1"/>
                <w:bCs w:val="1"/>
                <w:color w:val="auto"/>
              </w:rPr>
              <w:t>Neuroscience</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1,817</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3"/>
              </w:rPr>
              <w:t>226</w:t>
            </w:r>
          </w:p>
        </w:tc>
        <w:tc>
          <w:tcPr>
            <w:tcW w:w="28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2,043</w:t>
            </w: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24.0</w:t>
            </w:r>
          </w:p>
        </w:tc>
        <w:tc>
          <w:tcPr>
            <w:tcW w:w="68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5"/>
              </w:rPr>
              <w:t>8.9</w:t>
            </w:r>
          </w:p>
        </w:tc>
        <w:tc>
          <w:tcPr>
            <w:tcW w:w="360" w:type="dxa"/>
            <w:vAlign w:val="bottom"/>
          </w:tcPr>
          <w:p>
            <w:pPr>
              <w:spacing w:after="0"/>
              <w:rPr>
                <w:sz w:val="24"/>
                <w:szCs w:val="24"/>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1"/>
              </w:rPr>
              <w:t>22.1</w:t>
            </w:r>
          </w:p>
        </w:tc>
        <w:tc>
          <w:tcPr>
            <w:tcW w:w="24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5"/>
              </w:rPr>
              <w:t>8.4</w:t>
            </w:r>
          </w:p>
        </w:tc>
        <w:tc>
          <w:tcPr>
            <w:tcW w:w="300" w:type="dxa"/>
            <w:vAlign w:val="bottom"/>
          </w:tcPr>
          <w:p>
            <w:pPr>
              <w:spacing w:after="0"/>
              <w:rPr>
                <w:sz w:val="24"/>
                <w:szCs w:val="24"/>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1"/>
              </w:rPr>
              <w:t>22.0</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640" w:type="dxa"/>
            <w:vAlign w:val="bottom"/>
          </w:tcPr>
          <w:p>
            <w:pPr>
              <w:ind w:left="200"/>
              <w:spacing w:after="0"/>
              <w:rPr>
                <w:sz w:val="20"/>
                <w:szCs w:val="20"/>
                <w:color w:val="auto"/>
              </w:rPr>
            </w:pPr>
            <w:r>
              <w:rPr>
                <w:rFonts w:ascii="Arial" w:cs="Arial" w:eastAsia="Arial" w:hAnsi="Arial"/>
                <w:sz w:val="18"/>
                <w:szCs w:val="18"/>
                <w:color w:val="auto"/>
              </w:rPr>
              <w:t>Botox Therapeutc</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626</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122</w:t>
            </w:r>
          </w:p>
        </w:tc>
        <w:tc>
          <w:tcPr>
            <w:tcW w:w="28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748</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4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7.2</w:t>
            </w:r>
          </w:p>
        </w:tc>
        <w:tc>
          <w:tcPr>
            <w:tcW w:w="300" w:type="dxa"/>
            <w:vAlign w:val="bottom"/>
          </w:tcPr>
          <w:p>
            <w:pPr>
              <w:spacing w:after="0"/>
              <w:rPr>
                <w:sz w:val="19"/>
                <w:szCs w:val="19"/>
                <w:color w:val="auto"/>
              </w:rPr>
            </w:pPr>
          </w:p>
        </w:tc>
        <w:tc>
          <w:tcPr>
            <w:tcW w:w="680" w:type="dxa"/>
            <w:vAlign w:val="bottom"/>
            <w:gridSpan w:val="2"/>
          </w:tcPr>
          <w:p>
            <w:pPr>
              <w:jc w:val="center"/>
              <w:ind w:left="270"/>
              <w:spacing w:after="0"/>
              <w:rPr>
                <w:sz w:val="20"/>
                <w:szCs w:val="20"/>
                <w:color w:val="auto"/>
              </w:rPr>
            </w:pPr>
            <w:r>
              <w:rPr>
                <w:rFonts w:ascii="Arial" w:cs="Arial" w:eastAsia="Arial" w:hAnsi="Arial"/>
                <w:sz w:val="18"/>
                <w:szCs w:val="18"/>
                <w:color w:val="auto"/>
                <w:w w:val="95"/>
              </w:rPr>
              <w:t>6.5</w:t>
            </w:r>
          </w:p>
        </w:tc>
        <w:tc>
          <w:tcPr>
            <w:tcW w:w="36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5"/>
              </w:rPr>
              <w:t>7.1</w:t>
            </w:r>
          </w:p>
        </w:tc>
        <w:tc>
          <w:tcPr>
            <w:tcW w:w="24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8.6</w:t>
            </w:r>
          </w:p>
        </w:tc>
        <w:tc>
          <w:tcPr>
            <w:tcW w:w="30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7.4</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Vraylar</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750</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79"/>
              </w:rPr>
              <w:t>1</w:t>
            </w:r>
          </w:p>
        </w:tc>
        <w:tc>
          <w:tcPr>
            <w:tcW w:w="28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751</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91"/>
              </w:rPr>
              <w:t>35.2</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89"/>
              </w:rPr>
              <w:t>&gt;100.0</w:t>
            </w: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35.4</w:t>
            </w:r>
          </w:p>
        </w:tc>
        <w:tc>
          <w:tcPr>
            <w:tcW w:w="24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&gt;100.0</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35.4</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Duodopa</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25</w:t>
            </w:r>
          </w:p>
        </w:tc>
        <w:tc>
          <w:tcPr>
            <w:tcW w:w="34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93</w:t>
            </w:r>
          </w:p>
        </w:tc>
        <w:tc>
          <w:tcPr>
            <w:tcW w:w="28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118</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91"/>
              </w:rPr>
              <w:t>10.6</w:t>
            </w:r>
          </w:p>
        </w:tc>
        <w:tc>
          <w:tcPr>
            <w:tcW w:w="680" w:type="dxa"/>
            <w:vAlign w:val="bottom"/>
            <w:gridSpan w:val="2"/>
          </w:tcPr>
          <w:p>
            <w:pPr>
              <w:jc w:val="center"/>
              <w:ind w:left="270"/>
              <w:spacing w:after="0"/>
              <w:rPr>
                <w:sz w:val="20"/>
                <w:szCs w:val="20"/>
                <w:color w:val="auto"/>
              </w:rPr>
            </w:pPr>
            <w:r>
              <w:rPr>
                <w:rFonts w:ascii="Arial" w:cs="Arial" w:eastAsia="Arial" w:hAnsi="Arial"/>
                <w:sz w:val="18"/>
                <w:szCs w:val="18"/>
                <w:color w:val="auto"/>
                <w:w w:val="95"/>
              </w:rPr>
              <w:t>6.6</w:t>
            </w:r>
          </w:p>
        </w:tc>
        <w:tc>
          <w:tcPr>
            <w:tcW w:w="36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5"/>
              </w:rPr>
              <w:t>7.4</w:t>
            </w:r>
          </w:p>
        </w:tc>
        <w:tc>
          <w:tcPr>
            <w:tcW w:w="24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2.3</w:t>
            </w:r>
          </w:p>
        </w:tc>
        <w:tc>
          <w:tcPr>
            <w:tcW w:w="30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4.0</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Ubrelvy</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230</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79"/>
              </w:rPr>
              <w:t>3</w:t>
            </w:r>
          </w:p>
        </w:tc>
        <w:tc>
          <w:tcPr>
            <w:tcW w:w="28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233</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91"/>
              </w:rPr>
              <w:t>43.7</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89"/>
              </w:rPr>
              <w:t>&gt;100.0</w:t>
            </w: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45.6</w:t>
            </w:r>
          </w:p>
        </w:tc>
        <w:tc>
          <w:tcPr>
            <w:tcW w:w="24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&gt;100.0</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45.6</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Qulipta</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131</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79"/>
              </w:rPr>
              <w:t>1</w:t>
            </w:r>
          </w:p>
        </w:tc>
        <w:tc>
          <w:tcPr>
            <w:tcW w:w="28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132</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89"/>
              </w:rPr>
              <w:t>&gt;100.0</w:t>
            </w:r>
          </w:p>
        </w:tc>
        <w:tc>
          <w:tcPr>
            <w:tcW w:w="340" w:type="dxa"/>
            <w:vAlign w:val="bottom"/>
          </w:tcPr>
          <w:p>
            <w:pPr>
              <w:spacing w:after="0"/>
              <w:rPr>
                <w:sz w:val="19"/>
                <w:szCs w:val="19"/>
                <w:color w:val="auto"/>
              </w:rPr>
            </w:pPr>
          </w:p>
        </w:tc>
        <w:tc>
          <w:tcPr>
            <w:tcW w:w="700" w:type="dxa"/>
            <w:vAlign w:val="bottom"/>
            <w:gridSpan w:val="2"/>
          </w:tcPr>
          <w:p>
            <w:pPr>
              <w:jc w:val="center"/>
              <w:ind w:right="250"/>
              <w:spacing w:after="0"/>
              <w:rPr>
                <w:sz w:val="20"/>
                <w:szCs w:val="20"/>
                <w:color w:val="auto"/>
              </w:rPr>
            </w:pPr>
            <w:r>
              <w:rPr>
                <w:rFonts w:ascii="Arial" w:cs="Arial" w:eastAsia="Arial" w:hAnsi="Arial"/>
                <w:sz w:val="18"/>
                <w:szCs w:val="18"/>
                <w:color w:val="auto"/>
              </w:rPr>
              <w:t>n/m</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89"/>
              </w:rPr>
              <w:t>&gt;100.0</w:t>
            </w: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n/m</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9"/>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Other Neuroscience</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55</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79"/>
              </w:rPr>
              <w:t>6</w:t>
            </w:r>
          </w:p>
        </w:tc>
        <w:tc>
          <w:tcPr>
            <w:tcW w:w="280" w:type="dxa"/>
            <w:vAlign w:val="bottom"/>
          </w:tcPr>
          <w:p>
            <w:pPr>
              <w:spacing w:after="0"/>
              <w:rPr>
                <w:sz w:val="19"/>
                <w:szCs w:val="19"/>
                <w:color w:val="auto"/>
              </w:rPr>
            </w:pPr>
          </w:p>
        </w:tc>
        <w:tc>
          <w:tcPr>
            <w:tcW w:w="68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61</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93"/>
              </w:rPr>
              <w:t>(31.9)</w:t>
            </w:r>
          </w:p>
        </w:tc>
        <w:tc>
          <w:tcPr>
            <w:tcW w:w="680" w:type="dxa"/>
            <w:vAlign w:val="bottom"/>
            <w:gridSpan w:val="2"/>
          </w:tcPr>
          <w:p>
            <w:pPr>
              <w:jc w:val="center"/>
              <w:ind w:left="270"/>
              <w:spacing w:after="0"/>
              <w:rPr>
                <w:sz w:val="20"/>
                <w:szCs w:val="20"/>
                <w:color w:val="auto"/>
              </w:rPr>
            </w:pPr>
            <w:r>
              <w:rPr>
                <w:rFonts w:ascii="Arial" w:cs="Arial" w:eastAsia="Arial" w:hAnsi="Arial"/>
                <w:sz w:val="18"/>
                <w:szCs w:val="18"/>
                <w:color w:val="auto"/>
                <w:w w:val="95"/>
              </w:rPr>
              <w:t>6.2</w:t>
            </w:r>
          </w:p>
        </w:tc>
        <w:tc>
          <w:tcPr>
            <w:tcW w:w="360" w:type="dxa"/>
            <w:vAlign w:val="bottom"/>
          </w:tcPr>
          <w:p>
            <w:pPr>
              <w:spacing w:after="0"/>
              <w:rPr>
                <w:sz w:val="19"/>
                <w:szCs w:val="19"/>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3"/>
              </w:rPr>
              <w:t>(29.9)</w:t>
            </w: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9.6</w:t>
            </w:r>
          </w:p>
        </w:tc>
        <w:tc>
          <w:tcPr>
            <w:tcW w:w="30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9"/>
              </w:rPr>
              <w:t>(29.7)</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640" w:type="dxa"/>
            <w:vAlign w:val="bottom"/>
          </w:tcPr>
          <w:p>
            <w:pPr>
              <w:spacing w:after="0"/>
              <w:rPr>
                <w:sz w:val="20"/>
                <w:szCs w:val="20"/>
                <w:color w:val="auto"/>
              </w:rPr>
            </w:pPr>
            <w:r>
              <w:rPr>
                <w:rFonts w:ascii="Arial" w:cs="Arial" w:eastAsia="Arial" w:hAnsi="Arial"/>
                <w:sz w:val="18"/>
                <w:szCs w:val="18"/>
                <w:b w:val="1"/>
                <w:bCs w:val="1"/>
                <w:color w:val="auto"/>
              </w:rPr>
              <w:t>Eye Care</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3"/>
              </w:rPr>
              <w:t>310</w:t>
            </w:r>
          </w:p>
        </w:tc>
        <w:tc>
          <w:tcPr>
            <w:tcW w:w="340" w:type="dxa"/>
            <w:vAlign w:val="bottom"/>
          </w:tcPr>
          <w:p>
            <w:pPr>
              <w:spacing w:after="0"/>
              <w:rPr>
                <w:sz w:val="24"/>
                <w:szCs w:val="24"/>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3"/>
              </w:rPr>
              <w:t>295</w:t>
            </w:r>
          </w:p>
        </w:tc>
        <w:tc>
          <w:tcPr>
            <w:tcW w:w="280" w:type="dxa"/>
            <w:vAlign w:val="bottom"/>
          </w:tcPr>
          <w:p>
            <w:pPr>
              <w:spacing w:after="0"/>
              <w:rPr>
                <w:sz w:val="24"/>
                <w:szCs w:val="24"/>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3"/>
              </w:rPr>
              <w:t>605</w:t>
            </w:r>
          </w:p>
        </w:tc>
        <w:tc>
          <w:tcPr>
            <w:tcW w:w="2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(14.0)</w:t>
            </w:r>
          </w:p>
        </w:tc>
        <w:tc>
          <w:tcPr>
            <w:tcW w:w="68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1"/>
              </w:rPr>
              <w:t>13.1</w:t>
            </w:r>
          </w:p>
        </w:tc>
        <w:tc>
          <w:tcPr>
            <w:tcW w:w="360" w:type="dxa"/>
            <w:vAlign w:val="bottom"/>
          </w:tcPr>
          <w:p>
            <w:pPr>
              <w:spacing w:after="0"/>
              <w:rPr>
                <w:sz w:val="24"/>
                <w:szCs w:val="24"/>
                <w:color w:val="auto"/>
              </w:rPr>
            </w:pPr>
          </w:p>
        </w:tc>
        <w:tc>
          <w:tcPr>
            <w:tcW w:w="6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1"/>
              </w:rPr>
              <w:t>(2.7)</w:t>
            </w:r>
          </w:p>
        </w:tc>
        <w:tc>
          <w:tcPr>
            <w:tcW w:w="24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1"/>
              </w:rPr>
              <w:t>13.9</w:t>
            </w:r>
          </w:p>
        </w:tc>
        <w:tc>
          <w:tcPr>
            <w:tcW w:w="300" w:type="dxa"/>
            <w:vAlign w:val="bottom"/>
          </w:tcPr>
          <w:p>
            <w:pPr>
              <w:spacing w:after="0"/>
              <w:rPr>
                <w:sz w:val="24"/>
                <w:szCs w:val="24"/>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1"/>
              </w:rPr>
              <w:t>(2.4)</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640" w:type="dxa"/>
            <w:vAlign w:val="bottom"/>
          </w:tcPr>
          <w:p>
            <w:pPr>
              <w:ind w:left="200"/>
              <w:spacing w:after="0"/>
              <w:rPr>
                <w:sz w:val="20"/>
                <w:szCs w:val="20"/>
                <w:color w:val="auto"/>
              </w:rPr>
            </w:pPr>
            <w:r>
              <w:rPr>
                <w:rFonts w:ascii="Arial" w:cs="Arial" w:eastAsia="Arial" w:hAnsi="Arial"/>
                <w:sz w:val="18"/>
                <w:szCs w:val="18"/>
                <w:color w:val="auto"/>
              </w:rPr>
              <w:t>Ozurdex</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34</w:t>
            </w:r>
          </w:p>
        </w:tc>
        <w:tc>
          <w:tcPr>
            <w:tcW w:w="34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86</w:t>
            </w:r>
          </w:p>
        </w:tc>
        <w:tc>
          <w:tcPr>
            <w:tcW w:w="28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120</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86"/>
              </w:rPr>
              <w:t>(4.5)</w:t>
            </w:r>
          </w:p>
        </w:tc>
        <w:tc>
          <w:tcPr>
            <w:tcW w:w="68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22.3</w:t>
            </w:r>
          </w:p>
        </w:tc>
        <w:tc>
          <w:tcPr>
            <w:tcW w:w="36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13.2</w:t>
            </w:r>
          </w:p>
        </w:tc>
        <w:tc>
          <w:tcPr>
            <w:tcW w:w="24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21.7</w:t>
            </w:r>
          </w:p>
        </w:tc>
        <w:tc>
          <w:tcPr>
            <w:tcW w:w="30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12.8</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Lumigan/Ganfort</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28</w:t>
            </w:r>
          </w:p>
        </w:tc>
        <w:tc>
          <w:tcPr>
            <w:tcW w:w="34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63</w:t>
            </w:r>
          </w:p>
        </w:tc>
        <w:tc>
          <w:tcPr>
            <w:tcW w:w="280" w:type="dxa"/>
            <w:vAlign w:val="bottom"/>
          </w:tcPr>
          <w:p>
            <w:pPr>
              <w:spacing w:after="0"/>
              <w:rPr>
                <w:sz w:val="19"/>
                <w:szCs w:val="19"/>
                <w:color w:val="auto"/>
              </w:rPr>
            </w:pPr>
          </w:p>
        </w:tc>
        <w:tc>
          <w:tcPr>
            <w:tcW w:w="68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91</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93"/>
              </w:rPr>
              <w:t>(53.0)</w:t>
            </w:r>
          </w:p>
        </w:tc>
        <w:tc>
          <w:tcPr>
            <w:tcW w:w="680" w:type="dxa"/>
            <w:vAlign w:val="bottom"/>
            <w:gridSpan w:val="2"/>
          </w:tcPr>
          <w:p>
            <w:pPr>
              <w:jc w:val="center"/>
              <w:ind w:left="270"/>
              <w:spacing w:after="0"/>
              <w:rPr>
                <w:sz w:val="20"/>
                <w:szCs w:val="20"/>
                <w:color w:val="auto"/>
              </w:rPr>
            </w:pPr>
            <w:r>
              <w:rPr>
                <w:rFonts w:ascii="Arial" w:cs="Arial" w:eastAsia="Arial" w:hAnsi="Arial"/>
                <w:sz w:val="18"/>
                <w:szCs w:val="18"/>
                <w:color w:val="auto"/>
                <w:w w:val="95"/>
              </w:rPr>
              <w:t>2.7</w:t>
            </w:r>
          </w:p>
        </w:tc>
        <w:tc>
          <w:tcPr>
            <w:tcW w:w="360" w:type="dxa"/>
            <w:vAlign w:val="bottom"/>
          </w:tcPr>
          <w:p>
            <w:pPr>
              <w:spacing w:after="0"/>
              <w:rPr>
                <w:sz w:val="19"/>
                <w:szCs w:val="19"/>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3"/>
              </w:rPr>
              <w:t>(24.8)</w:t>
            </w: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1.4</w:t>
            </w:r>
          </w:p>
        </w:tc>
        <w:tc>
          <w:tcPr>
            <w:tcW w:w="30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9"/>
              </w:rPr>
              <w:t>(25.5)</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Alphagan/Combigan</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30</w:t>
            </w:r>
          </w:p>
        </w:tc>
        <w:tc>
          <w:tcPr>
            <w:tcW w:w="34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40</w:t>
            </w:r>
          </w:p>
        </w:tc>
        <w:tc>
          <w:tcPr>
            <w:tcW w:w="280" w:type="dxa"/>
            <w:vAlign w:val="bottom"/>
          </w:tcPr>
          <w:p>
            <w:pPr>
              <w:spacing w:after="0"/>
              <w:rPr>
                <w:sz w:val="19"/>
                <w:szCs w:val="19"/>
                <w:color w:val="auto"/>
              </w:rPr>
            </w:pPr>
          </w:p>
        </w:tc>
        <w:tc>
          <w:tcPr>
            <w:tcW w:w="68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70</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93"/>
              </w:rPr>
              <w:t>(16.0)</w:t>
            </w:r>
          </w:p>
        </w:tc>
        <w:tc>
          <w:tcPr>
            <w:tcW w:w="68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10.1</w:t>
            </w:r>
          </w:p>
        </w:tc>
        <w:tc>
          <w:tcPr>
            <w:tcW w:w="360" w:type="dxa"/>
            <w:vAlign w:val="bottom"/>
          </w:tcPr>
          <w:p>
            <w:pPr>
              <w:spacing w:after="0"/>
              <w:rPr>
                <w:sz w:val="19"/>
                <w:szCs w:val="19"/>
                <w:color w:val="auto"/>
              </w:rPr>
            </w:pP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(3.1)</w:t>
            </w:r>
          </w:p>
        </w:tc>
        <w:tc>
          <w:tcPr>
            <w:tcW w:w="24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17.3</w:t>
            </w:r>
          </w:p>
        </w:tc>
        <w:tc>
          <w:tcPr>
            <w:tcW w:w="30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0.4</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Restasis</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104</w:t>
            </w:r>
          </w:p>
        </w:tc>
        <w:tc>
          <w:tcPr>
            <w:tcW w:w="34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13</w:t>
            </w:r>
          </w:p>
        </w:tc>
        <w:tc>
          <w:tcPr>
            <w:tcW w:w="28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117</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93"/>
              </w:rPr>
              <w:t>(20.7)</w:t>
            </w:r>
          </w:p>
        </w:tc>
        <w:tc>
          <w:tcPr>
            <w:tcW w:w="68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35.0</w:t>
            </w:r>
          </w:p>
        </w:tc>
        <w:tc>
          <w:tcPr>
            <w:tcW w:w="360" w:type="dxa"/>
            <w:vAlign w:val="bottom"/>
          </w:tcPr>
          <w:p>
            <w:pPr>
              <w:spacing w:after="0"/>
              <w:rPr>
                <w:sz w:val="19"/>
                <w:szCs w:val="19"/>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3"/>
              </w:rPr>
              <w:t>(17.0)</w:t>
            </w: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42.1</w:t>
            </w:r>
          </w:p>
        </w:tc>
        <w:tc>
          <w:tcPr>
            <w:tcW w:w="30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89"/>
              </w:rPr>
              <w:t>(16.5)</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Other Eye Care</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114</w:t>
            </w:r>
          </w:p>
        </w:tc>
        <w:tc>
          <w:tcPr>
            <w:tcW w:w="34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93</w:t>
            </w:r>
          </w:p>
        </w:tc>
        <w:tc>
          <w:tcPr>
            <w:tcW w:w="28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207</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91"/>
              </w:rPr>
              <w:t>16.3</w:t>
            </w:r>
          </w:p>
        </w:tc>
        <w:tc>
          <w:tcPr>
            <w:tcW w:w="68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11.9</w:t>
            </w:r>
          </w:p>
        </w:tc>
        <w:tc>
          <w:tcPr>
            <w:tcW w:w="36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14.2</w:t>
            </w:r>
          </w:p>
        </w:tc>
        <w:tc>
          <w:tcPr>
            <w:tcW w:w="24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12.0</w:t>
            </w:r>
          </w:p>
        </w:tc>
        <w:tc>
          <w:tcPr>
            <w:tcW w:w="30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14.2</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640" w:type="dxa"/>
            <w:vAlign w:val="bottom"/>
          </w:tcPr>
          <w:p>
            <w:pPr>
              <w:spacing w:after="0"/>
              <w:rPr>
                <w:sz w:val="20"/>
                <w:szCs w:val="20"/>
                <w:color w:val="auto"/>
              </w:rPr>
            </w:pPr>
            <w:r>
              <w:rPr>
                <w:rFonts w:ascii="Arial" w:cs="Arial" w:eastAsia="Arial" w:hAnsi="Arial"/>
                <w:sz w:val="18"/>
                <w:szCs w:val="18"/>
                <w:b w:val="1"/>
                <w:bCs w:val="1"/>
                <w:color w:val="auto"/>
              </w:rPr>
              <w:t>Other Key Products</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3"/>
              </w:rPr>
              <w:t>751</w:t>
            </w:r>
          </w:p>
        </w:tc>
        <w:tc>
          <w:tcPr>
            <w:tcW w:w="340" w:type="dxa"/>
            <w:vAlign w:val="bottom"/>
          </w:tcPr>
          <w:p>
            <w:pPr>
              <w:spacing w:after="0"/>
              <w:rPr>
                <w:sz w:val="24"/>
                <w:szCs w:val="24"/>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3"/>
              </w:rPr>
              <w:t>212</w:t>
            </w:r>
          </w:p>
        </w:tc>
        <w:tc>
          <w:tcPr>
            <w:tcW w:w="280" w:type="dxa"/>
            <w:vAlign w:val="bottom"/>
          </w:tcPr>
          <w:p>
            <w:pPr>
              <w:spacing w:after="0"/>
              <w:rPr>
                <w:sz w:val="24"/>
                <w:szCs w:val="24"/>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3"/>
              </w:rPr>
              <w:t>963</w:t>
            </w:r>
          </w:p>
        </w:tc>
        <w:tc>
          <w:tcPr>
            <w:tcW w:w="2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(4.6)</w:t>
            </w:r>
          </w:p>
        </w:tc>
        <w:tc>
          <w:tcPr>
            <w:tcW w:w="68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5"/>
              </w:rPr>
              <w:t>4.4</w:t>
            </w:r>
          </w:p>
        </w:tc>
        <w:tc>
          <w:tcPr>
            <w:tcW w:w="360" w:type="dxa"/>
            <w:vAlign w:val="bottom"/>
          </w:tcPr>
          <w:p>
            <w:pPr>
              <w:spacing w:after="0"/>
              <w:rPr>
                <w:sz w:val="24"/>
                <w:szCs w:val="24"/>
                <w:color w:val="auto"/>
              </w:rPr>
            </w:pPr>
          </w:p>
        </w:tc>
        <w:tc>
          <w:tcPr>
            <w:tcW w:w="6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1"/>
              </w:rPr>
              <w:t>(2.8)</w:t>
            </w:r>
          </w:p>
        </w:tc>
        <w:tc>
          <w:tcPr>
            <w:tcW w:w="240" w:type="dxa"/>
            <w:vAlign w:val="bottom"/>
          </w:tcPr>
          <w:p>
            <w:pPr>
              <w:spacing w:after="0"/>
              <w:rPr>
                <w:sz w:val="24"/>
                <w:szCs w:val="24"/>
                <w:color w:val="auto"/>
              </w:rPr>
            </w:pPr>
          </w:p>
        </w:tc>
        <w:tc>
          <w:tcPr>
            <w:tcW w:w="12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5"/>
              </w:rPr>
              <w:t>4.9</w:t>
            </w:r>
          </w:p>
        </w:tc>
        <w:tc>
          <w:tcPr>
            <w:tcW w:w="300" w:type="dxa"/>
            <w:vAlign w:val="bottom"/>
          </w:tcPr>
          <w:p>
            <w:pPr>
              <w:spacing w:after="0"/>
              <w:rPr>
                <w:sz w:val="24"/>
                <w:szCs w:val="24"/>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1"/>
              </w:rPr>
              <w:t>(2.7)</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640" w:type="dxa"/>
            <w:vAlign w:val="bottom"/>
          </w:tcPr>
          <w:p>
            <w:pPr>
              <w:ind w:left="200"/>
              <w:spacing w:after="0"/>
              <w:rPr>
                <w:sz w:val="20"/>
                <w:szCs w:val="20"/>
                <w:color w:val="auto"/>
              </w:rPr>
            </w:pPr>
            <w:r>
              <w:rPr>
                <w:rFonts w:ascii="Arial" w:cs="Arial" w:eastAsia="Arial" w:hAnsi="Arial"/>
                <w:sz w:val="18"/>
                <w:szCs w:val="18"/>
                <w:color w:val="auto"/>
              </w:rPr>
              <w:t>Mavyret</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167</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203</w:t>
            </w:r>
          </w:p>
        </w:tc>
        <w:tc>
          <w:tcPr>
            <w:tcW w:w="28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370</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93"/>
              </w:rPr>
              <w:t>(12.3)</w:t>
            </w:r>
          </w:p>
        </w:tc>
        <w:tc>
          <w:tcPr>
            <w:tcW w:w="680" w:type="dxa"/>
            <w:vAlign w:val="bottom"/>
            <w:gridSpan w:val="2"/>
          </w:tcPr>
          <w:p>
            <w:pPr>
              <w:jc w:val="center"/>
              <w:ind w:left="270"/>
              <w:spacing w:after="0"/>
              <w:rPr>
                <w:sz w:val="20"/>
                <w:szCs w:val="20"/>
                <w:color w:val="auto"/>
              </w:rPr>
            </w:pPr>
            <w:r>
              <w:rPr>
                <w:rFonts w:ascii="Arial" w:cs="Arial" w:eastAsia="Arial" w:hAnsi="Arial"/>
                <w:sz w:val="18"/>
                <w:szCs w:val="18"/>
                <w:color w:val="auto"/>
                <w:w w:val="95"/>
              </w:rPr>
              <w:t>5.2</w:t>
            </w:r>
          </w:p>
        </w:tc>
        <w:tc>
          <w:tcPr>
            <w:tcW w:w="360" w:type="dxa"/>
            <w:vAlign w:val="bottom"/>
          </w:tcPr>
          <w:p>
            <w:pPr>
              <w:spacing w:after="0"/>
              <w:rPr>
                <w:sz w:val="19"/>
                <w:szCs w:val="19"/>
                <w:color w:val="auto"/>
              </w:rPr>
            </w:pP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(3.5)</w:t>
            </w:r>
          </w:p>
        </w:tc>
        <w:tc>
          <w:tcPr>
            <w:tcW w:w="24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5.8</w:t>
            </w:r>
          </w:p>
        </w:tc>
        <w:tc>
          <w:tcPr>
            <w:tcW w:w="300" w:type="dxa"/>
            <w:vAlign w:val="bottom"/>
          </w:tcPr>
          <w:p>
            <w:pPr>
              <w:spacing w:after="0"/>
              <w:rPr>
                <w:sz w:val="19"/>
                <w:szCs w:val="19"/>
                <w:color w:val="auto"/>
              </w:rPr>
            </w:pP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(3.2)</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Creon</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305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305</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40" w:type="dxa"/>
            <w:vAlign w:val="bottom"/>
            <w:gridSpan w:val="4"/>
          </w:tcPr>
          <w:p>
            <w:pPr>
              <w:jc w:val="center"/>
              <w:spacing w:after="0"/>
              <w:rPr>
                <w:sz w:val="20"/>
                <w:szCs w:val="20"/>
                <w:color w:val="auto"/>
              </w:rPr>
            </w:pPr>
            <w:r>
              <w:rPr>
                <w:rFonts w:ascii="Arial" w:cs="Arial" w:eastAsia="Arial" w:hAnsi="Arial"/>
                <w:sz w:val="18"/>
                <w:szCs w:val="18"/>
                <w:color w:val="auto"/>
                <w:w w:val="86"/>
              </w:rPr>
              <w:t>(9.1)</w:t>
            </w:r>
          </w:p>
        </w:tc>
        <w:tc>
          <w:tcPr>
            <w:tcW w:w="340" w:type="dxa"/>
            <w:vAlign w:val="bottom"/>
          </w:tcPr>
          <w:p>
            <w:pPr>
              <w:spacing w:after="0"/>
              <w:rPr>
                <w:sz w:val="19"/>
                <w:szCs w:val="19"/>
                <w:color w:val="auto"/>
              </w:rPr>
            </w:pPr>
          </w:p>
        </w:tc>
        <w:tc>
          <w:tcPr>
            <w:tcW w:w="700" w:type="dxa"/>
            <w:vAlign w:val="bottom"/>
            <w:gridSpan w:val="2"/>
          </w:tcPr>
          <w:p>
            <w:pPr>
              <w:jc w:val="center"/>
              <w:ind w:right="250"/>
              <w:spacing w:after="0"/>
              <w:rPr>
                <w:sz w:val="20"/>
                <w:szCs w:val="20"/>
                <w:color w:val="auto"/>
              </w:rPr>
            </w:pPr>
            <w:r>
              <w:rPr>
                <w:rFonts w:ascii="Arial" w:cs="Arial" w:eastAsia="Arial" w:hAnsi="Arial"/>
                <w:sz w:val="18"/>
                <w:szCs w:val="18"/>
                <w:color w:val="auto"/>
              </w:rPr>
              <w:t>n/m</w:t>
            </w: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(9.1)</w:t>
            </w:r>
          </w:p>
        </w:tc>
        <w:tc>
          <w:tcPr>
            <w:tcW w:w="24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n/m</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(9.1)</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Linzess/Constella</w:t>
            </w:r>
          </w:p>
        </w:tc>
        <w:tc>
          <w:tcPr>
            <w:tcW w:w="58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279</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79"/>
              </w:rPr>
              <w:t>9</w:t>
            </w:r>
          </w:p>
        </w:tc>
        <w:tc>
          <w:tcPr>
            <w:tcW w:w="28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288</w:t>
            </w:r>
          </w:p>
        </w:tc>
        <w:tc>
          <w:tcPr>
            <w:tcW w:w="2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4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6.8</w:t>
            </w:r>
          </w:p>
        </w:tc>
        <w:tc>
          <w:tcPr>
            <w:tcW w:w="300" w:type="dxa"/>
            <w:vAlign w:val="bottom"/>
          </w:tcPr>
          <w:p>
            <w:pPr>
              <w:spacing w:after="0"/>
              <w:rPr>
                <w:sz w:val="19"/>
                <w:szCs w:val="19"/>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3"/>
              </w:rPr>
              <w:t>(11.1)</w:t>
            </w: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5"/>
              </w:rPr>
              <w:t>6.2</w:t>
            </w:r>
          </w:p>
        </w:tc>
        <w:tc>
          <w:tcPr>
            <w:tcW w:w="24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(13.0)</w:t>
            </w:r>
          </w:p>
        </w:tc>
        <w:tc>
          <w:tcPr>
            <w:tcW w:w="640" w:type="dxa"/>
            <w:vAlign w:val="bottom"/>
            <w:gridSpan w:val="2"/>
          </w:tcPr>
          <w:p>
            <w:pPr>
              <w:jc w:val="center"/>
              <w:ind w:left="210"/>
              <w:spacing w:after="0"/>
              <w:rPr>
                <w:sz w:val="20"/>
                <w:szCs w:val="20"/>
                <w:color w:val="auto"/>
              </w:rPr>
            </w:pPr>
            <w:r>
              <w:rPr>
                <w:rFonts w:ascii="Arial" w:cs="Arial" w:eastAsia="Arial" w:hAnsi="Arial"/>
                <w:sz w:val="18"/>
                <w:szCs w:val="18"/>
                <w:color w:val="auto"/>
                <w:w w:val="87"/>
              </w:rPr>
              <w:t>6.1</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80" w:hanging="72"/>
        <w:spacing w:after="0"/>
        <w:tabs>
          <w:tab w:leader="none" w:pos="8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"Operatonal" comparisons are presented at constant currency rates that refect comparatve local currency net revenues at the prior year's foreign exchange rates.</w:t>
      </w:r>
    </w:p>
    <w:p>
      <w:pPr>
        <w:spacing w:after="0" w:line="52" w:lineRule="exact"/>
        <w:rPr>
          <w:sz w:val="20"/>
          <w:szCs w:val="20"/>
          <w:color w:val="auto"/>
        </w:rPr>
      </w:pPr>
    </w:p>
    <w:p>
      <w:pPr>
        <w:ind w:left="80" w:hanging="72"/>
        <w:spacing w:after="0"/>
        <w:tabs>
          <w:tab w:leader="none" w:pos="8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Refects proft sharing for Imbruvica internatonal revenues.</w:t>
      </w:r>
    </w:p>
    <w:p>
      <w:pPr>
        <w:spacing w:after="0" w:line="75" w:lineRule="exact"/>
        <w:rPr>
          <w:sz w:val="20"/>
          <w:szCs w:val="20"/>
          <w:color w:val="auto"/>
        </w:rPr>
      </w:pPr>
    </w:p>
    <w:p>
      <w:pPr>
        <w:ind w:right="8380" w:firstLine="8"/>
        <w:spacing w:after="0" w:line="504" w:lineRule="auto"/>
        <w:tabs>
          <w:tab w:leader="none" w:pos="61" w:val="left"/>
        </w:tabs>
        <w:numPr>
          <w:ilvl w:val="0"/>
          <w:numId w:val="8"/>
        </w:numPr>
        <w:rPr>
          <w:rFonts w:ascii="Arial" w:cs="Arial" w:eastAsia="Arial" w:hAnsi="Arial"/>
          <w:sz w:val="15"/>
          <w:szCs w:val="15"/>
          <w:color w:val="auto"/>
          <w:vertAlign w:val="superscript"/>
        </w:rPr>
      </w:pPr>
      <w:r>
        <w:rPr>
          <w:rFonts w:ascii="Arial" w:cs="Arial" w:eastAsia="Arial" w:hAnsi="Arial"/>
          <w:sz w:val="11"/>
          <w:szCs w:val="11"/>
          <w:color w:val="auto"/>
        </w:rPr>
        <w:t>Refects proft sharing for Epkinly U.S. revenues. n/m = not meaningful</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864"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2"/>
          <w:szCs w:val="22"/>
          <w:b w:val="1"/>
          <w:bCs w:val="1"/>
          <w:color w:val="auto"/>
        </w:rPr>
        <w:t>AbbVie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Key Product Revenues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Nine Months Ended September 30, 2023</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9"/>
          </w:tcPr>
          <w:p>
            <w:pPr>
              <w:jc w:val="center"/>
              <w:ind w:right="660"/>
              <w:spacing w:after="0"/>
              <w:rPr>
                <w:sz w:val="20"/>
                <w:szCs w:val="20"/>
                <w:color w:val="auto"/>
              </w:rPr>
            </w:pPr>
            <w:r>
              <w:rPr>
                <w:rFonts w:ascii="Arial" w:cs="Arial" w:eastAsia="Arial" w:hAnsi="Arial"/>
                <w:sz w:val="18"/>
                <w:szCs w:val="18"/>
                <w:b w:val="1"/>
                <w:bCs w:val="1"/>
                <w:color w:val="auto"/>
                <w:w w:val="86"/>
              </w:rPr>
              <w:t>% Change vs. 9M22</w:t>
            </w: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8"/>
                <w:szCs w:val="18"/>
                <w:b w:val="1"/>
                <w:bCs w:val="1"/>
                <w:color w:val="auto"/>
                <w:w w:val="87"/>
              </w:rPr>
              <w:t>Net Revenues (in millions)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Reported</w:t>
            </w: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5"/>
          </w:tcPr>
          <w:p>
            <w:pPr>
              <w:ind w:left="180"/>
              <w:spacing w:after="0" w:line="230" w:lineRule="exact"/>
              <w:rPr>
                <w:sz w:val="20"/>
                <w:szCs w:val="20"/>
                <w:color w:val="auto"/>
              </w:rPr>
            </w:pPr>
            <w:r>
              <w:rPr>
                <w:rFonts w:ascii="Arial" w:cs="Arial" w:eastAsia="Arial" w:hAnsi="Arial"/>
                <w:sz w:val="18"/>
                <w:szCs w:val="18"/>
                <w:b w:val="1"/>
                <w:bCs w:val="1"/>
                <w:color w:val="auto"/>
              </w:rPr>
              <w:t>Operatonal</w:t>
            </w:r>
            <w:r>
              <w:rPr>
                <w:rFonts w:ascii="Arial" w:cs="Arial" w:eastAsia="Arial" w:hAnsi="Arial"/>
                <w:sz w:val="23"/>
                <w:szCs w:val="23"/>
                <w:b w:val="1"/>
                <w:bCs w:val="1"/>
                <w:color w:val="auto"/>
                <w:vertAlign w:val="superscript"/>
              </w:rPr>
              <w: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line="169" w:lineRule="exact"/>
              <w:rPr>
                <w:sz w:val="20"/>
                <w:szCs w:val="20"/>
                <w:color w:val="auto"/>
              </w:rPr>
            </w:pPr>
            <w:r>
              <w:rPr>
                <w:rFonts w:ascii="Arial" w:cs="Arial" w:eastAsia="Arial" w:hAnsi="Arial"/>
                <w:sz w:val="18"/>
                <w:szCs w:val="18"/>
                <w:b w:val="1"/>
                <w:bCs w:val="1"/>
                <w:color w:val="auto"/>
                <w:w w:val="79"/>
              </w:rPr>
              <w:t>U.S.</w:t>
            </w:r>
          </w:p>
        </w:tc>
        <w:tc>
          <w:tcPr>
            <w:tcW w:w="360" w:type="dxa"/>
            <w:vAlign w:val="bottom"/>
          </w:tcPr>
          <w:p>
            <w:pPr>
              <w:spacing w:after="0"/>
              <w:rPr>
                <w:sz w:val="14"/>
                <w:szCs w:val="14"/>
                <w:color w:val="auto"/>
              </w:rPr>
            </w:pPr>
          </w:p>
        </w:tc>
        <w:tc>
          <w:tcPr>
            <w:tcW w:w="920" w:type="dxa"/>
            <w:vAlign w:val="bottom"/>
            <w:gridSpan w:val="3"/>
          </w:tcPr>
          <w:p>
            <w:pPr>
              <w:jc w:val="center"/>
              <w:ind w:right="20"/>
              <w:spacing w:after="0" w:line="169" w:lineRule="exact"/>
              <w:rPr>
                <w:sz w:val="20"/>
                <w:szCs w:val="20"/>
                <w:color w:val="auto"/>
              </w:rPr>
            </w:pPr>
            <w:r>
              <w:rPr>
                <w:rFonts w:ascii="Arial" w:cs="Arial" w:eastAsia="Arial" w:hAnsi="Arial"/>
                <w:sz w:val="18"/>
                <w:szCs w:val="18"/>
                <w:b w:val="1"/>
                <w:bCs w:val="1"/>
                <w:color w:val="auto"/>
                <w:w w:val="91"/>
              </w:rPr>
              <w:t>Int’l.</w:t>
            </w:r>
          </w:p>
        </w:tc>
        <w:tc>
          <w:tcPr>
            <w:tcW w:w="920" w:type="dxa"/>
            <w:vAlign w:val="bottom"/>
            <w:gridSpan w:val="3"/>
          </w:tcPr>
          <w:p>
            <w:pPr>
              <w:ind w:left="320"/>
              <w:spacing w:after="0" w:line="169"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ind w:left="280"/>
              <w:spacing w:after="0" w:line="169" w:lineRule="exact"/>
              <w:rPr>
                <w:sz w:val="20"/>
                <w:szCs w:val="20"/>
                <w:color w:val="auto"/>
              </w:rPr>
            </w:pPr>
            <w:r>
              <w:rPr>
                <w:rFonts w:ascii="Arial" w:cs="Arial" w:eastAsia="Arial" w:hAnsi="Arial"/>
                <w:sz w:val="18"/>
                <w:szCs w:val="18"/>
                <w:b w:val="1"/>
                <w:bCs w:val="1"/>
                <w:color w:val="auto"/>
              </w:rPr>
              <w:t>U.S.</w:t>
            </w:r>
          </w:p>
        </w:tc>
        <w:tc>
          <w:tcPr>
            <w:tcW w:w="1040" w:type="dxa"/>
            <w:vAlign w:val="bottom"/>
            <w:gridSpan w:val="3"/>
          </w:tcPr>
          <w:p>
            <w:pPr>
              <w:jc w:val="center"/>
              <w:spacing w:after="0" w:line="169" w:lineRule="exact"/>
              <w:rPr>
                <w:sz w:val="20"/>
                <w:szCs w:val="20"/>
                <w:color w:val="auto"/>
              </w:rPr>
            </w:pPr>
            <w:r>
              <w:rPr>
                <w:rFonts w:ascii="Arial" w:cs="Arial" w:eastAsia="Arial" w:hAnsi="Arial"/>
                <w:sz w:val="18"/>
                <w:szCs w:val="18"/>
                <w:b w:val="1"/>
                <w:bCs w:val="1"/>
                <w:color w:val="auto"/>
                <w:w w:val="97"/>
              </w:rPr>
              <w:t>Int’l.</w:t>
            </w:r>
          </w:p>
        </w:tc>
        <w:tc>
          <w:tcPr>
            <w:tcW w:w="260" w:type="dxa"/>
            <w:vAlign w:val="bottom"/>
          </w:tcPr>
          <w:p>
            <w:pPr>
              <w:spacing w:after="0"/>
              <w:rPr>
                <w:sz w:val="14"/>
                <w:szCs w:val="14"/>
                <w:color w:val="auto"/>
              </w:rPr>
            </w:pPr>
          </w:p>
        </w:tc>
        <w:tc>
          <w:tcPr>
            <w:tcW w:w="60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3"/>
              </w:rPr>
              <w:t>Total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ind w:left="240"/>
              <w:spacing w:after="0" w:line="169" w:lineRule="exact"/>
              <w:rPr>
                <w:sz w:val="20"/>
                <w:szCs w:val="20"/>
                <w:color w:val="auto"/>
              </w:rPr>
            </w:pPr>
            <w:r>
              <w:rPr>
                <w:rFonts w:ascii="Arial" w:cs="Arial" w:eastAsia="Arial" w:hAnsi="Arial"/>
                <w:sz w:val="18"/>
                <w:szCs w:val="18"/>
                <w:b w:val="1"/>
                <w:bCs w:val="1"/>
                <w:color w:val="auto"/>
              </w:rPr>
              <w:t>Int’l.</w:t>
            </w:r>
          </w:p>
        </w:tc>
        <w:tc>
          <w:tcPr>
            <w:tcW w:w="300" w:type="dxa"/>
            <w:vAlign w:val="bottom"/>
          </w:tcPr>
          <w:p>
            <w:pPr>
              <w:spacing w:after="0"/>
              <w:rPr>
                <w:sz w:val="14"/>
                <w:szCs w:val="14"/>
                <w:color w:val="auto"/>
              </w:rPr>
            </w:pPr>
          </w:p>
        </w:tc>
        <w:tc>
          <w:tcPr>
            <w:tcW w:w="60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NET REVENUES</w:t>
            </w: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89"/>
              </w:rPr>
              <w:t>$30,773</w:t>
            </w:r>
          </w:p>
        </w:tc>
        <w:tc>
          <w:tcPr>
            <w:tcW w:w="920" w:type="dxa"/>
            <w:vAlign w:val="bottom"/>
            <w:gridSpan w:val="3"/>
            <w:vMerge w:val="restart"/>
          </w:tcPr>
          <w:p>
            <w:pPr>
              <w:jc w:val="center"/>
              <w:ind w:right="20"/>
              <w:spacing w:after="0"/>
              <w:rPr>
                <w:sz w:val="20"/>
                <w:szCs w:val="20"/>
                <w:color w:val="auto"/>
              </w:rPr>
            </w:pPr>
            <w:r>
              <w:rPr>
                <w:rFonts w:ascii="Arial" w:cs="Arial" w:eastAsia="Arial" w:hAnsi="Arial"/>
                <w:sz w:val="18"/>
                <w:szCs w:val="18"/>
                <w:b w:val="1"/>
                <w:bCs w:val="1"/>
                <w:color w:val="auto"/>
                <w:w w:val="90"/>
              </w:rPr>
              <w:t>$9,244</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2"/>
              </w:rPr>
              <w:t>$40,017</w:t>
            </w:r>
          </w:p>
        </w:tc>
        <w:tc>
          <w:tcPr>
            <w:tcW w:w="20" w:type="dxa"/>
            <w:vAlign w:val="bottom"/>
          </w:tcPr>
          <w:p>
            <w:pPr>
              <w:spacing w:after="0"/>
              <w:rPr>
                <w:sz w:val="2"/>
                <w:szCs w:val="2"/>
                <w:color w:val="auto"/>
              </w:rPr>
            </w:pPr>
          </w:p>
        </w:tc>
        <w:tc>
          <w:tcPr>
            <w:tcW w:w="96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90"/>
              </w:rPr>
              <w:t>(8.2)%</w:t>
            </w:r>
          </w:p>
        </w:tc>
        <w:tc>
          <w:tcPr>
            <w:tcW w:w="10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0"/>
              </w:rPr>
              <w:t>(1.8)%</w:t>
            </w:r>
          </w:p>
        </w:tc>
        <w:tc>
          <w:tcPr>
            <w:tcW w:w="86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0"/>
              </w:rPr>
              <w:t>(6.8)%</w:t>
            </w:r>
          </w:p>
        </w:tc>
        <w:tc>
          <w:tcPr>
            <w:tcW w:w="20" w:type="dxa"/>
            <w:vAlign w:val="bottom"/>
          </w:tcPr>
          <w:p>
            <w:pPr>
              <w:spacing w:after="0"/>
              <w:rPr>
                <w:sz w:val="2"/>
                <w:szCs w:val="2"/>
                <w:color w:val="auto"/>
              </w:rPr>
            </w:pPr>
          </w:p>
        </w:tc>
        <w:tc>
          <w:tcPr>
            <w:tcW w:w="100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7"/>
              </w:rPr>
              <w:t>1.6%</w:t>
            </w:r>
          </w:p>
        </w:tc>
        <w:tc>
          <w:tcPr>
            <w:tcW w:w="9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0"/>
              </w:rPr>
              <w:t>(6.0)%</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60" w:type="dxa"/>
            <w:vAlign w:val="bottom"/>
            <w:gridSpan w:val="4"/>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gridSpan w:val="4"/>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640" w:type="dxa"/>
            <w:vAlign w:val="bottom"/>
          </w:tcPr>
          <w:p>
            <w:pPr>
              <w:spacing w:after="0"/>
              <w:rPr>
                <w:sz w:val="20"/>
                <w:szCs w:val="20"/>
                <w:color w:val="auto"/>
              </w:rPr>
            </w:pPr>
            <w:r>
              <w:rPr>
                <w:rFonts w:ascii="Arial" w:cs="Arial" w:eastAsia="Arial" w:hAnsi="Arial"/>
                <w:sz w:val="18"/>
                <w:szCs w:val="18"/>
                <w:b w:val="1"/>
                <w:bCs w:val="1"/>
                <w:color w:val="auto"/>
              </w:rPr>
              <w:t>Immunology</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15,963</w:t>
            </w:r>
          </w:p>
        </w:tc>
        <w:tc>
          <w:tcPr>
            <w:tcW w:w="9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3,220</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19,183</w:t>
            </w:r>
          </w:p>
        </w:tc>
        <w:tc>
          <w:tcPr>
            <w:tcW w:w="20" w:type="dxa"/>
            <w:vAlign w:val="bottom"/>
            <w:shd w:val="clear" w:color="auto" w:fill="000000"/>
          </w:tcPr>
          <w:p>
            <w:pPr>
              <w:spacing w:after="0"/>
              <w:rPr>
                <w:sz w:val="24"/>
                <w:szCs w:val="24"/>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(10.9)</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5"/>
              </w:rPr>
              <w:t>4.6</w:t>
            </w:r>
          </w:p>
        </w:tc>
        <w:tc>
          <w:tcPr>
            <w:tcW w:w="340" w:type="dxa"/>
            <w:vAlign w:val="bottom"/>
          </w:tcPr>
          <w:p>
            <w:pPr>
              <w:spacing w:after="0"/>
              <w:rPr>
                <w:sz w:val="24"/>
                <w:szCs w:val="24"/>
                <w:color w:val="auto"/>
              </w:rPr>
            </w:pPr>
          </w:p>
        </w:tc>
        <w:tc>
          <w:tcPr>
            <w:tcW w:w="6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1"/>
              </w:rPr>
              <w:t>(8.6)</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8.1</w:t>
            </w:r>
          </w:p>
        </w:tc>
        <w:tc>
          <w:tcPr>
            <w:tcW w:w="300" w:type="dxa"/>
            <w:vAlign w:val="bottom"/>
          </w:tcPr>
          <w:p>
            <w:pPr>
              <w:spacing w:after="0"/>
              <w:rPr>
                <w:sz w:val="24"/>
                <w:szCs w:val="24"/>
                <w:color w:val="auto"/>
              </w:rPr>
            </w:pPr>
          </w:p>
        </w:tc>
        <w:tc>
          <w:tcPr>
            <w:tcW w:w="66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1"/>
              </w:rPr>
              <w:t>(8.1)</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640" w:type="dxa"/>
            <w:vAlign w:val="bottom"/>
          </w:tcPr>
          <w:p>
            <w:pPr>
              <w:ind w:left="200"/>
              <w:spacing w:after="0"/>
              <w:rPr>
                <w:sz w:val="20"/>
                <w:szCs w:val="20"/>
                <w:color w:val="auto"/>
              </w:rPr>
            </w:pPr>
            <w:r>
              <w:rPr>
                <w:rFonts w:ascii="Arial" w:cs="Arial" w:eastAsia="Arial" w:hAnsi="Arial"/>
                <w:sz w:val="18"/>
                <w:szCs w:val="18"/>
                <w:color w:val="auto"/>
              </w:rPr>
              <w:t>Humira</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9,420</w:t>
            </w:r>
          </w:p>
        </w:tc>
        <w:tc>
          <w:tcPr>
            <w:tcW w:w="92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1,680</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0"/>
              </w:rPr>
              <w:t>11,100</w:t>
            </w: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93"/>
              </w:rPr>
              <w:t>(30.8)</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3"/>
              </w:rPr>
              <w:t>(17.9)</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3"/>
              </w:rPr>
              <w:t>(29.1)</w:t>
            </w: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3"/>
              </w:rPr>
              <w:t>(14.8)</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89"/>
              </w:rPr>
              <w:t>(28.7)</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Skyrizi</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4,648</w:t>
            </w: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721</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8"/>
              </w:rPr>
              <w:t>5,369</w:t>
            </w: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91"/>
              </w:rPr>
              <w:t>50.9</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41.8</w:t>
            </w:r>
          </w:p>
        </w:tc>
        <w:tc>
          <w:tcPr>
            <w:tcW w:w="34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49.6</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1"/>
              </w:rPr>
              <w:t>45.5</w:t>
            </w:r>
          </w:p>
        </w:tc>
        <w:tc>
          <w:tcPr>
            <w:tcW w:w="300" w:type="dxa"/>
            <w:vAlign w:val="bottom"/>
          </w:tcPr>
          <w:p>
            <w:pPr>
              <w:spacing w:after="0"/>
              <w:rPr>
                <w:sz w:val="19"/>
                <w:szCs w:val="19"/>
                <w:color w:val="auto"/>
              </w:rPr>
            </w:pPr>
          </w:p>
        </w:tc>
        <w:tc>
          <w:tcPr>
            <w:tcW w:w="6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50.1</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Rinvoq</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1,895</w:t>
            </w: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819</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8"/>
              </w:rPr>
              <w:t>2,714</w:t>
            </w: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91"/>
              </w:rPr>
              <w:t>54.4</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56.1</w:t>
            </w:r>
          </w:p>
        </w:tc>
        <w:tc>
          <w:tcPr>
            <w:tcW w:w="34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54.9</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1"/>
              </w:rPr>
              <w:t>61.0</w:t>
            </w:r>
          </w:p>
        </w:tc>
        <w:tc>
          <w:tcPr>
            <w:tcW w:w="300" w:type="dxa"/>
            <w:vAlign w:val="bottom"/>
          </w:tcPr>
          <w:p>
            <w:pPr>
              <w:spacing w:after="0"/>
              <w:rPr>
                <w:sz w:val="19"/>
                <w:szCs w:val="19"/>
                <w:color w:val="auto"/>
              </w:rPr>
            </w:pPr>
          </w:p>
        </w:tc>
        <w:tc>
          <w:tcPr>
            <w:tcW w:w="6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56.4</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640" w:type="dxa"/>
            <w:vAlign w:val="bottom"/>
          </w:tcPr>
          <w:p>
            <w:pPr>
              <w:spacing w:after="0"/>
              <w:rPr>
                <w:sz w:val="20"/>
                <w:szCs w:val="20"/>
                <w:color w:val="auto"/>
              </w:rPr>
            </w:pPr>
            <w:r>
              <w:rPr>
                <w:rFonts w:ascii="Arial" w:cs="Arial" w:eastAsia="Arial" w:hAnsi="Arial"/>
                <w:sz w:val="18"/>
                <w:szCs w:val="18"/>
                <w:b w:val="1"/>
                <w:bCs w:val="1"/>
                <w:color w:val="auto"/>
              </w:rPr>
              <w:t>Oncology</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2,807</w:t>
            </w:r>
          </w:p>
        </w:tc>
        <w:tc>
          <w:tcPr>
            <w:tcW w:w="9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1,599</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4,406</w:t>
            </w:r>
          </w:p>
        </w:tc>
        <w:tc>
          <w:tcPr>
            <w:tcW w:w="20" w:type="dxa"/>
            <w:vAlign w:val="bottom"/>
            <w:shd w:val="clear" w:color="auto" w:fill="000000"/>
          </w:tcPr>
          <w:p>
            <w:pPr>
              <w:spacing w:after="0"/>
              <w:rPr>
                <w:sz w:val="24"/>
                <w:szCs w:val="24"/>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(15.6)</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7"/>
              </w:rPr>
              <w:t>(1.3)</w:t>
            </w:r>
          </w:p>
        </w:tc>
        <w:tc>
          <w:tcPr>
            <w:tcW w:w="340" w:type="dxa"/>
            <w:vAlign w:val="bottom"/>
          </w:tcPr>
          <w:p>
            <w:pPr>
              <w:spacing w:after="0"/>
              <w:rPr>
                <w:sz w:val="24"/>
                <w:szCs w:val="24"/>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(10.9)</w:t>
            </w:r>
          </w:p>
        </w:tc>
        <w:tc>
          <w:tcPr>
            <w:tcW w:w="20" w:type="dxa"/>
            <w:vAlign w:val="bottom"/>
            <w:shd w:val="clear" w:color="auto" w:fill="000000"/>
          </w:tcPr>
          <w:p>
            <w:pPr>
              <w:spacing w:after="0"/>
              <w:rPr>
                <w:sz w:val="24"/>
                <w:szCs w:val="24"/>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0.2</w:t>
            </w:r>
          </w:p>
        </w:tc>
        <w:tc>
          <w:tcPr>
            <w:tcW w:w="300" w:type="dxa"/>
            <w:vAlign w:val="bottom"/>
          </w:tcPr>
          <w:p>
            <w:pPr>
              <w:spacing w:after="0"/>
              <w:rPr>
                <w:sz w:val="24"/>
                <w:szCs w:val="24"/>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(10.4)</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line="230" w:lineRule="exact"/>
              <w:rPr>
                <w:sz w:val="20"/>
                <w:szCs w:val="20"/>
                <w:color w:val="auto"/>
              </w:rPr>
            </w:pPr>
            <w:r>
              <w:rPr>
                <w:rFonts w:ascii="Arial" w:cs="Arial" w:eastAsia="Arial" w:hAnsi="Arial"/>
                <w:sz w:val="18"/>
                <w:szCs w:val="18"/>
                <w:color w:val="auto"/>
              </w:rPr>
              <w:t>Imbruvica</w:t>
            </w:r>
            <w:r>
              <w:rPr>
                <w:rFonts w:ascii="Arial" w:cs="Arial" w:eastAsia="Arial" w:hAnsi="Arial"/>
                <w:sz w:val="23"/>
                <w:szCs w:val="23"/>
                <w:color w:val="auto"/>
                <w:vertAlign w:val="superscript"/>
              </w:rPr>
              <w:t>b</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1,982</w:t>
            </w: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711</w:t>
            </w:r>
          </w:p>
        </w:tc>
        <w:tc>
          <w:tcPr>
            <w:tcW w:w="300" w:type="dxa"/>
            <w:vAlign w:val="bottom"/>
          </w:tcPr>
          <w:p>
            <w:pPr>
              <w:spacing w:after="0"/>
              <w:rPr>
                <w:sz w:val="20"/>
                <w:szCs w:val="20"/>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8"/>
              </w:rPr>
              <w:t>2,693</w:t>
            </w:r>
          </w:p>
        </w:tc>
        <w:tc>
          <w:tcPr>
            <w:tcW w:w="20" w:type="dxa"/>
            <w:vAlign w:val="bottom"/>
            <w:shd w:val="clear" w:color="auto" w:fill="000000"/>
          </w:tcPr>
          <w:p>
            <w:pPr>
              <w:spacing w:after="0"/>
              <w:rPr>
                <w:sz w:val="20"/>
                <w:szCs w:val="20"/>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93"/>
              </w:rPr>
              <w:t>(23.4)</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3"/>
              </w:rPr>
              <w:t>(18.0)</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3"/>
              </w:rPr>
              <w:t>(22.0)</w:t>
            </w:r>
          </w:p>
        </w:tc>
        <w:tc>
          <w:tcPr>
            <w:tcW w:w="20" w:type="dxa"/>
            <w:vAlign w:val="bottom"/>
            <w:shd w:val="clear" w:color="auto" w:fill="000000"/>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3"/>
              </w:rPr>
              <w:t>(18.0)</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89"/>
              </w:rPr>
              <w:t>(22.0)</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640" w:type="dxa"/>
            <w:vAlign w:val="bottom"/>
          </w:tcPr>
          <w:p>
            <w:pPr>
              <w:ind w:left="200"/>
              <w:spacing w:after="0"/>
              <w:rPr>
                <w:sz w:val="20"/>
                <w:szCs w:val="20"/>
                <w:color w:val="auto"/>
              </w:rPr>
            </w:pPr>
            <w:r>
              <w:rPr>
                <w:rFonts w:ascii="Arial" w:cs="Arial" w:eastAsia="Arial" w:hAnsi="Arial"/>
                <w:sz w:val="18"/>
                <w:szCs w:val="18"/>
                <w:color w:val="auto"/>
              </w:rPr>
              <w:t>Venclexta</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811</w:t>
            </w:r>
          </w:p>
        </w:tc>
        <w:tc>
          <w:tcPr>
            <w:tcW w:w="36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888</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8"/>
              </w:rPr>
              <w:t>1,699</w:t>
            </w: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90"/>
              <w:spacing w:after="0"/>
              <w:rPr>
                <w:sz w:val="20"/>
                <w:szCs w:val="20"/>
                <w:color w:val="auto"/>
              </w:rPr>
            </w:pPr>
            <w:r>
              <w:rPr>
                <w:rFonts w:ascii="Arial" w:cs="Arial" w:eastAsia="Arial" w:hAnsi="Arial"/>
                <w:sz w:val="18"/>
                <w:szCs w:val="18"/>
                <w:color w:val="auto"/>
                <w:w w:val="95"/>
              </w:rPr>
              <w:t>9.4</w:t>
            </w:r>
          </w:p>
        </w:tc>
        <w:tc>
          <w:tcPr>
            <w:tcW w:w="300" w:type="dxa"/>
            <w:vAlign w:val="bottom"/>
          </w:tcPr>
          <w:p>
            <w:pPr>
              <w:spacing w:after="0"/>
              <w:rPr>
                <w:sz w:val="19"/>
                <w:szCs w:val="19"/>
                <w:color w:val="auto"/>
              </w:rPr>
            </w:pP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18.1</w:t>
            </w:r>
          </w:p>
        </w:tc>
        <w:tc>
          <w:tcPr>
            <w:tcW w:w="34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13.8</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1"/>
              </w:rPr>
              <w:t>21.4</w:t>
            </w:r>
          </w:p>
        </w:tc>
        <w:tc>
          <w:tcPr>
            <w:tcW w:w="300" w:type="dxa"/>
            <w:vAlign w:val="bottom"/>
          </w:tcPr>
          <w:p>
            <w:pPr>
              <w:spacing w:after="0"/>
              <w:rPr>
                <w:sz w:val="19"/>
                <w:szCs w:val="19"/>
                <w:color w:val="auto"/>
              </w:rPr>
            </w:pPr>
          </w:p>
        </w:tc>
        <w:tc>
          <w:tcPr>
            <w:tcW w:w="6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15.5</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640" w:type="dxa"/>
            <w:vAlign w:val="bottom"/>
          </w:tcPr>
          <w:p>
            <w:pPr>
              <w:ind w:left="200"/>
              <w:spacing w:after="0"/>
              <w:rPr>
                <w:sz w:val="20"/>
                <w:szCs w:val="20"/>
                <w:color w:val="auto"/>
              </w:rPr>
            </w:pPr>
            <w:r>
              <w:rPr>
                <w:rFonts w:ascii="Arial" w:cs="Arial" w:eastAsia="Arial" w:hAnsi="Arial"/>
                <w:sz w:val="18"/>
                <w:szCs w:val="18"/>
                <w:color w:val="auto"/>
              </w:rPr>
              <w:t>Epkinly</w:t>
            </w:r>
            <w:r>
              <w:rPr>
                <w:rFonts w:ascii="Arial" w:cs="Arial" w:eastAsia="Arial" w:hAnsi="Arial"/>
                <w:sz w:val="23"/>
                <w:szCs w:val="23"/>
                <w:color w:val="auto"/>
                <w:vertAlign w:val="superscript"/>
              </w:rPr>
              <w:t>c</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14</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14</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ind w:left="26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4"/>
                <w:szCs w:val="24"/>
                <w:color w:val="auto"/>
              </w:rPr>
            </w:pPr>
          </w:p>
        </w:tc>
        <w:tc>
          <w:tcPr>
            <w:tcW w:w="700" w:type="dxa"/>
            <w:vAlign w:val="bottom"/>
            <w:gridSpan w:val="2"/>
          </w:tcPr>
          <w:p>
            <w:pPr>
              <w:jc w:val="center"/>
              <w:ind w:right="25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4"/>
                <w:szCs w:val="24"/>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8"/>
                <w:szCs w:val="18"/>
                <w:color w:val="auto"/>
              </w:rPr>
              <w:t>n/m</w:t>
            </w:r>
          </w:p>
        </w:tc>
        <w:tc>
          <w:tcPr>
            <w:tcW w:w="20" w:type="dxa"/>
            <w:vAlign w:val="bottom"/>
            <w:shd w:val="clear" w:color="auto" w:fill="000000"/>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n/m</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640" w:type="dxa"/>
            <w:vAlign w:val="bottom"/>
          </w:tcPr>
          <w:p>
            <w:pPr>
              <w:spacing w:after="0"/>
              <w:rPr>
                <w:sz w:val="20"/>
                <w:szCs w:val="20"/>
                <w:color w:val="auto"/>
              </w:rPr>
            </w:pPr>
            <w:r>
              <w:rPr>
                <w:rFonts w:ascii="Arial" w:cs="Arial" w:eastAsia="Arial" w:hAnsi="Arial"/>
                <w:sz w:val="18"/>
                <w:szCs w:val="18"/>
                <w:b w:val="1"/>
                <w:bCs w:val="1"/>
                <w:color w:val="auto"/>
              </w:rPr>
              <w:t>Aesthetcs</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2,365</w:t>
            </w:r>
          </w:p>
        </w:tc>
        <w:tc>
          <w:tcPr>
            <w:tcW w:w="9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1,558</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3,923</w:t>
            </w:r>
          </w:p>
        </w:tc>
        <w:tc>
          <w:tcPr>
            <w:tcW w:w="20" w:type="dxa"/>
            <w:vAlign w:val="bottom"/>
            <w:shd w:val="clear" w:color="auto" w:fill="000000"/>
          </w:tcPr>
          <w:p>
            <w:pPr>
              <w:spacing w:after="0"/>
              <w:rPr>
                <w:sz w:val="20"/>
                <w:szCs w:val="20"/>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(4.9)</w:t>
            </w:r>
          </w:p>
        </w:tc>
        <w:tc>
          <w:tcPr>
            <w:tcW w:w="340" w:type="dxa"/>
            <w:vAlign w:val="bottom"/>
          </w:tcPr>
          <w:p>
            <w:pPr>
              <w:spacing w:after="0"/>
              <w:rPr>
                <w:sz w:val="20"/>
                <w:szCs w:val="20"/>
                <w:color w:val="auto"/>
              </w:rPr>
            </w:pPr>
          </w:p>
        </w:tc>
        <w:tc>
          <w:tcPr>
            <w:tcW w:w="70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8"/>
              </w:rPr>
              <w:t>—</w:t>
            </w:r>
          </w:p>
        </w:tc>
        <w:tc>
          <w:tcPr>
            <w:tcW w:w="6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1"/>
              </w:rPr>
              <w:t>(3.0)</w:t>
            </w:r>
          </w:p>
        </w:tc>
        <w:tc>
          <w:tcPr>
            <w:tcW w:w="2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5.3</w:t>
            </w:r>
          </w:p>
        </w:tc>
        <w:tc>
          <w:tcPr>
            <w:tcW w:w="300" w:type="dxa"/>
            <w:vAlign w:val="bottom"/>
          </w:tcPr>
          <w:p>
            <w:pPr>
              <w:spacing w:after="0"/>
              <w:rPr>
                <w:sz w:val="20"/>
                <w:szCs w:val="20"/>
                <w:color w:val="auto"/>
              </w:rPr>
            </w:pPr>
          </w:p>
        </w:tc>
        <w:tc>
          <w:tcPr>
            <w:tcW w:w="66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1"/>
              </w:rPr>
              <w:t>(1.0)</w:t>
            </w:r>
          </w:p>
        </w:tc>
        <w:tc>
          <w:tcPr>
            <w:tcW w:w="24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40" w:type="dxa"/>
            <w:vAlign w:val="bottom"/>
          </w:tcPr>
          <w:p>
            <w:pPr>
              <w:ind w:left="200"/>
              <w:spacing w:after="0"/>
              <w:rPr>
                <w:sz w:val="20"/>
                <w:szCs w:val="20"/>
                <w:color w:val="auto"/>
              </w:rPr>
            </w:pPr>
            <w:r>
              <w:rPr>
                <w:rFonts w:ascii="Arial" w:cs="Arial" w:eastAsia="Arial" w:hAnsi="Arial"/>
                <w:sz w:val="18"/>
                <w:szCs w:val="18"/>
                <w:color w:val="auto"/>
              </w:rPr>
              <w:t>Botox Cosmetc</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1,217</w:t>
            </w: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747</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8"/>
              </w:rPr>
              <w:t>1,964</w:t>
            </w: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86"/>
              </w:rPr>
              <w:t>(1.1)</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w w:val="95"/>
              </w:rPr>
              <w:t>0.7</w:t>
            </w:r>
          </w:p>
        </w:tc>
        <w:tc>
          <w:tcPr>
            <w:tcW w:w="340" w:type="dxa"/>
            <w:vAlign w:val="bottom"/>
          </w:tcPr>
          <w:p>
            <w:pPr>
              <w:spacing w:after="0"/>
              <w:rPr>
                <w:sz w:val="19"/>
                <w:szCs w:val="19"/>
                <w:color w:val="auto"/>
              </w:rPr>
            </w:pP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(0.4)</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6.0</w:t>
            </w:r>
          </w:p>
        </w:tc>
        <w:tc>
          <w:tcPr>
            <w:tcW w:w="300" w:type="dxa"/>
            <w:vAlign w:val="bottom"/>
          </w:tcPr>
          <w:p>
            <w:pPr>
              <w:spacing w:after="0"/>
              <w:rPr>
                <w:sz w:val="19"/>
                <w:szCs w:val="19"/>
                <w:color w:val="auto"/>
              </w:rPr>
            </w:pPr>
          </w:p>
        </w:tc>
        <w:tc>
          <w:tcPr>
            <w:tcW w:w="66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1.6</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Juvederm Collecton</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363</w:t>
            </w:r>
          </w:p>
        </w:tc>
        <w:tc>
          <w:tcPr>
            <w:tcW w:w="36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681</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8"/>
              </w:rPr>
              <w:t>1,044</w:t>
            </w: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93"/>
              </w:rPr>
              <w:t>(13.3)</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w w:val="86"/>
              </w:rPr>
              <w:t>(0.8)</w:t>
            </w:r>
          </w:p>
        </w:tc>
        <w:tc>
          <w:tcPr>
            <w:tcW w:w="340" w:type="dxa"/>
            <w:vAlign w:val="bottom"/>
          </w:tcPr>
          <w:p>
            <w:pPr>
              <w:spacing w:after="0"/>
              <w:rPr>
                <w:sz w:val="19"/>
                <w:szCs w:val="19"/>
                <w:color w:val="auto"/>
              </w:rPr>
            </w:pP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(5.6)</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4.5</w:t>
            </w:r>
          </w:p>
        </w:tc>
        <w:tc>
          <w:tcPr>
            <w:tcW w:w="300" w:type="dxa"/>
            <w:vAlign w:val="bottom"/>
          </w:tcPr>
          <w:p>
            <w:pPr>
              <w:spacing w:after="0"/>
              <w:rPr>
                <w:sz w:val="19"/>
                <w:szCs w:val="19"/>
                <w:color w:val="auto"/>
              </w:rPr>
            </w:pPr>
          </w:p>
        </w:tc>
        <w:tc>
          <w:tcPr>
            <w:tcW w:w="66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(2.3)</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Other Aesthetcs</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785</w:t>
            </w:r>
          </w:p>
        </w:tc>
        <w:tc>
          <w:tcPr>
            <w:tcW w:w="36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130</w:t>
            </w:r>
          </w:p>
        </w:tc>
        <w:tc>
          <w:tcPr>
            <w:tcW w:w="30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915</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86"/>
              </w:rPr>
              <w:t>(6.3)</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w w:val="95"/>
              </w:rPr>
              <w:t>0.5</w:t>
            </w:r>
          </w:p>
        </w:tc>
        <w:tc>
          <w:tcPr>
            <w:tcW w:w="340" w:type="dxa"/>
            <w:vAlign w:val="bottom"/>
          </w:tcPr>
          <w:p>
            <w:pPr>
              <w:spacing w:after="0"/>
              <w:rPr>
                <w:sz w:val="19"/>
                <w:szCs w:val="19"/>
                <w:color w:val="auto"/>
              </w:rPr>
            </w:pP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(5.4)</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5.4</w:t>
            </w:r>
          </w:p>
        </w:tc>
        <w:tc>
          <w:tcPr>
            <w:tcW w:w="300" w:type="dxa"/>
            <w:vAlign w:val="bottom"/>
          </w:tcPr>
          <w:p>
            <w:pPr>
              <w:spacing w:after="0"/>
              <w:rPr>
                <w:sz w:val="19"/>
                <w:szCs w:val="19"/>
                <w:color w:val="auto"/>
              </w:rPr>
            </w:pPr>
          </w:p>
        </w:tc>
        <w:tc>
          <w:tcPr>
            <w:tcW w:w="66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(4.7)</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640" w:type="dxa"/>
            <w:vAlign w:val="bottom"/>
          </w:tcPr>
          <w:p>
            <w:pPr>
              <w:spacing w:after="0"/>
              <w:rPr>
                <w:sz w:val="20"/>
                <w:szCs w:val="20"/>
                <w:color w:val="auto"/>
              </w:rPr>
            </w:pPr>
            <w:r>
              <w:rPr>
                <w:rFonts w:ascii="Arial" w:cs="Arial" w:eastAsia="Arial" w:hAnsi="Arial"/>
                <w:sz w:val="18"/>
                <w:szCs w:val="18"/>
                <w:b w:val="1"/>
                <w:bCs w:val="1"/>
                <w:color w:val="auto"/>
              </w:rPr>
              <w:t>Neuroscience</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4,929</w:t>
            </w:r>
          </w:p>
        </w:tc>
        <w:tc>
          <w:tcPr>
            <w:tcW w:w="6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6"/>
              </w:rPr>
              <w:t>694</w:t>
            </w:r>
          </w:p>
        </w:tc>
        <w:tc>
          <w:tcPr>
            <w:tcW w:w="30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5,623</w:t>
            </w:r>
          </w:p>
        </w:tc>
        <w:tc>
          <w:tcPr>
            <w:tcW w:w="20" w:type="dxa"/>
            <w:vAlign w:val="bottom"/>
            <w:shd w:val="clear" w:color="auto" w:fill="000000"/>
          </w:tcPr>
          <w:p>
            <w:pPr>
              <w:spacing w:after="0"/>
              <w:rPr>
                <w:sz w:val="24"/>
                <w:szCs w:val="24"/>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18.0</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5"/>
              </w:rPr>
              <w:t>7.9</w:t>
            </w:r>
          </w:p>
        </w:tc>
        <w:tc>
          <w:tcPr>
            <w:tcW w:w="340" w:type="dxa"/>
            <w:vAlign w:val="bottom"/>
          </w:tcPr>
          <w:p>
            <w:pPr>
              <w:spacing w:after="0"/>
              <w:rPr>
                <w:sz w:val="24"/>
                <w:szCs w:val="24"/>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1"/>
              </w:rPr>
              <w:t>16.7</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1"/>
              </w:rPr>
              <w:t>11.7</w:t>
            </w:r>
          </w:p>
        </w:tc>
        <w:tc>
          <w:tcPr>
            <w:tcW w:w="300" w:type="dxa"/>
            <w:vAlign w:val="bottom"/>
          </w:tcPr>
          <w:p>
            <w:pPr>
              <w:spacing w:after="0"/>
              <w:rPr>
                <w:sz w:val="24"/>
                <w:szCs w:val="24"/>
                <w:color w:val="auto"/>
              </w:rPr>
            </w:pPr>
          </w:p>
        </w:tc>
        <w:tc>
          <w:tcPr>
            <w:tcW w:w="66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1"/>
              </w:rPr>
              <w:t>17.2</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640" w:type="dxa"/>
            <w:vAlign w:val="bottom"/>
          </w:tcPr>
          <w:p>
            <w:pPr>
              <w:ind w:left="200"/>
              <w:spacing w:after="0"/>
              <w:rPr>
                <w:sz w:val="20"/>
                <w:szCs w:val="20"/>
                <w:color w:val="auto"/>
              </w:rPr>
            </w:pPr>
            <w:r>
              <w:rPr>
                <w:rFonts w:ascii="Arial" w:cs="Arial" w:eastAsia="Arial" w:hAnsi="Arial"/>
                <w:sz w:val="18"/>
                <w:szCs w:val="18"/>
                <w:color w:val="auto"/>
              </w:rPr>
              <w:t>Botox Therapeutc</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1,827</w:t>
            </w: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388</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8"/>
              </w:rPr>
              <w:t>2,215</w:t>
            </w: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91"/>
              </w:rPr>
              <w:t>11.3</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10.9</w:t>
            </w:r>
          </w:p>
        </w:tc>
        <w:tc>
          <w:tcPr>
            <w:tcW w:w="34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11.3</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1"/>
              </w:rPr>
              <w:t>16.6</w:t>
            </w:r>
          </w:p>
        </w:tc>
        <w:tc>
          <w:tcPr>
            <w:tcW w:w="300" w:type="dxa"/>
            <w:vAlign w:val="bottom"/>
          </w:tcPr>
          <w:p>
            <w:pPr>
              <w:spacing w:after="0"/>
              <w:rPr>
                <w:sz w:val="19"/>
                <w:szCs w:val="19"/>
                <w:color w:val="auto"/>
              </w:rPr>
            </w:pPr>
          </w:p>
        </w:tc>
        <w:tc>
          <w:tcPr>
            <w:tcW w:w="6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12.3</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Vraylar</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1,967</w:t>
            </w: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8"/>
              </w:rPr>
              <w:t>1,970</w:t>
            </w: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91"/>
              </w:rPr>
              <w:t>33.6</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89"/>
              </w:rPr>
              <w:t>&gt;100.0</w:t>
            </w: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33.7</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89"/>
              </w:rPr>
              <w:t>&gt;100.0</w:t>
            </w:r>
          </w:p>
        </w:tc>
        <w:tc>
          <w:tcPr>
            <w:tcW w:w="6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33.7</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Duodopa</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74</w:t>
            </w:r>
          </w:p>
        </w:tc>
        <w:tc>
          <w:tcPr>
            <w:tcW w:w="36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279</w:t>
            </w:r>
          </w:p>
        </w:tc>
        <w:tc>
          <w:tcPr>
            <w:tcW w:w="30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353</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90"/>
              <w:spacing w:after="0"/>
              <w:rPr>
                <w:sz w:val="20"/>
                <w:szCs w:val="20"/>
                <w:color w:val="auto"/>
              </w:rPr>
            </w:pPr>
            <w:r>
              <w:rPr>
                <w:rFonts w:ascii="Arial" w:cs="Arial" w:eastAsia="Arial" w:hAnsi="Arial"/>
                <w:sz w:val="18"/>
                <w:szCs w:val="18"/>
                <w:color w:val="auto"/>
                <w:w w:val="95"/>
              </w:rPr>
              <w:t>2.8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center"/>
              <w:ind w:right="25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5"/>
              </w:rPr>
              <w:t>0.6</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1.1</w:t>
            </w:r>
          </w:p>
        </w:tc>
        <w:tc>
          <w:tcPr>
            <w:tcW w:w="300" w:type="dxa"/>
            <w:vAlign w:val="bottom"/>
          </w:tcPr>
          <w:p>
            <w:pPr>
              <w:spacing w:after="0"/>
              <w:rPr>
                <w:sz w:val="19"/>
                <w:szCs w:val="19"/>
                <w:color w:val="auto"/>
              </w:rPr>
            </w:pPr>
          </w:p>
        </w:tc>
        <w:tc>
          <w:tcPr>
            <w:tcW w:w="66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1.5</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Ubrelvy</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574</w:t>
            </w:r>
          </w:p>
        </w:tc>
        <w:tc>
          <w:tcPr>
            <w:tcW w:w="36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w:t>
            </w:r>
          </w:p>
        </w:tc>
        <w:tc>
          <w:tcPr>
            <w:tcW w:w="30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581</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91"/>
              </w:rPr>
              <w:t>18.8</w:t>
            </w: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89"/>
              </w:rPr>
              <w:t>&gt;100.0</w:t>
            </w: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20.3</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89"/>
              </w:rPr>
              <w:t>&gt;100.0</w:t>
            </w:r>
          </w:p>
        </w:tc>
        <w:tc>
          <w:tcPr>
            <w:tcW w:w="6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20.3</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Qulipta</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292</w:t>
            </w:r>
          </w:p>
        </w:tc>
        <w:tc>
          <w:tcPr>
            <w:tcW w:w="36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294</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&gt;100.0</w:t>
            </w:r>
          </w:p>
        </w:tc>
        <w:tc>
          <w:tcPr>
            <w:tcW w:w="340" w:type="dxa"/>
            <w:vAlign w:val="bottom"/>
          </w:tcPr>
          <w:p>
            <w:pPr>
              <w:spacing w:after="0"/>
              <w:rPr>
                <w:sz w:val="19"/>
                <w:szCs w:val="19"/>
                <w:color w:val="auto"/>
              </w:rPr>
            </w:pPr>
          </w:p>
        </w:tc>
        <w:tc>
          <w:tcPr>
            <w:tcW w:w="700" w:type="dxa"/>
            <w:vAlign w:val="bottom"/>
            <w:gridSpan w:val="2"/>
          </w:tcPr>
          <w:p>
            <w:pPr>
              <w:jc w:val="center"/>
              <w:ind w:right="250"/>
              <w:spacing w:after="0"/>
              <w:rPr>
                <w:sz w:val="20"/>
                <w:szCs w:val="20"/>
                <w:color w:val="auto"/>
              </w:rPr>
            </w:pPr>
            <w:r>
              <w:rPr>
                <w:rFonts w:ascii="Arial" w:cs="Arial" w:eastAsia="Arial" w:hAnsi="Arial"/>
                <w:sz w:val="18"/>
                <w:szCs w:val="18"/>
                <w:color w:val="auto"/>
              </w:rPr>
              <w:t>n/m</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89"/>
              </w:rPr>
              <w:t>&gt;100.0</w:t>
            </w: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n/m</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89"/>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Other Neuroscience</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195</w:t>
            </w:r>
          </w:p>
        </w:tc>
        <w:tc>
          <w:tcPr>
            <w:tcW w:w="36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15</w:t>
            </w:r>
          </w:p>
        </w:tc>
        <w:tc>
          <w:tcPr>
            <w:tcW w:w="30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210</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93"/>
              </w:rPr>
              <w:t>(51.3)</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w w:val="95"/>
              </w:rPr>
              <w:t>6.4</w:t>
            </w:r>
          </w:p>
        </w:tc>
        <w:tc>
          <w:tcPr>
            <w:tcW w:w="340" w:type="dxa"/>
            <w:vAlign w:val="bottom"/>
          </w:tcPr>
          <w:p>
            <w:pPr>
              <w:spacing w:after="0"/>
              <w:rPr>
                <w:sz w:val="19"/>
                <w:szCs w:val="19"/>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3"/>
              </w:rPr>
              <w:t>(49.3)</w:t>
            </w: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1"/>
              </w:rPr>
              <w:t>11.8</w:t>
            </w:r>
          </w:p>
        </w:tc>
        <w:tc>
          <w:tcPr>
            <w:tcW w:w="300" w:type="dxa"/>
            <w:vAlign w:val="bottom"/>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89"/>
              </w:rPr>
              <w:t>(49.1)</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3640" w:type="dxa"/>
            <w:vAlign w:val="bottom"/>
          </w:tcPr>
          <w:p>
            <w:pPr>
              <w:spacing w:after="0"/>
              <w:rPr>
                <w:sz w:val="20"/>
                <w:szCs w:val="20"/>
                <w:color w:val="auto"/>
              </w:rPr>
            </w:pPr>
            <w:r>
              <w:rPr>
                <w:rFonts w:ascii="Arial" w:cs="Arial" w:eastAsia="Arial" w:hAnsi="Arial"/>
                <w:sz w:val="18"/>
                <w:szCs w:val="18"/>
                <w:b w:val="1"/>
                <w:bCs w:val="1"/>
                <w:color w:val="auto"/>
              </w:rPr>
              <w:t>Eye Care</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6"/>
              </w:rPr>
              <w:t>938</w:t>
            </w:r>
          </w:p>
        </w:tc>
        <w:tc>
          <w:tcPr>
            <w:tcW w:w="360" w:type="dxa"/>
            <w:vAlign w:val="bottom"/>
          </w:tcPr>
          <w:p>
            <w:pPr>
              <w:spacing w:after="0"/>
              <w:rPr>
                <w:sz w:val="24"/>
                <w:szCs w:val="24"/>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6"/>
              </w:rPr>
              <w:t>892</w:t>
            </w:r>
          </w:p>
        </w:tc>
        <w:tc>
          <w:tcPr>
            <w:tcW w:w="30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1,830</w:t>
            </w:r>
          </w:p>
        </w:tc>
        <w:tc>
          <w:tcPr>
            <w:tcW w:w="20" w:type="dxa"/>
            <w:vAlign w:val="bottom"/>
            <w:shd w:val="clear" w:color="auto" w:fill="000000"/>
          </w:tcPr>
          <w:p>
            <w:pPr>
              <w:spacing w:after="0"/>
              <w:rPr>
                <w:sz w:val="24"/>
                <w:szCs w:val="24"/>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(25.8)</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5"/>
              </w:rPr>
              <w:t>5.5</w:t>
            </w:r>
          </w:p>
        </w:tc>
        <w:tc>
          <w:tcPr>
            <w:tcW w:w="340" w:type="dxa"/>
            <w:vAlign w:val="bottom"/>
          </w:tcPr>
          <w:p>
            <w:pPr>
              <w:spacing w:after="0"/>
              <w:rPr>
                <w:sz w:val="24"/>
                <w:szCs w:val="24"/>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(13.3)</w:t>
            </w:r>
          </w:p>
        </w:tc>
        <w:tc>
          <w:tcPr>
            <w:tcW w:w="20" w:type="dxa"/>
            <w:vAlign w:val="bottom"/>
            <w:shd w:val="clear" w:color="auto" w:fill="000000"/>
          </w:tcPr>
          <w:p>
            <w:pPr>
              <w:spacing w:after="0"/>
              <w:rPr>
                <w:sz w:val="24"/>
                <w:szCs w:val="24"/>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9.0</w:t>
            </w:r>
          </w:p>
        </w:tc>
        <w:tc>
          <w:tcPr>
            <w:tcW w:w="300" w:type="dxa"/>
            <w:vAlign w:val="bottom"/>
          </w:tcPr>
          <w:p>
            <w:pPr>
              <w:spacing w:after="0"/>
              <w:rPr>
                <w:sz w:val="24"/>
                <w:szCs w:val="24"/>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(11.9)</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40" w:type="dxa"/>
            <w:vAlign w:val="bottom"/>
          </w:tcPr>
          <w:p>
            <w:pPr>
              <w:ind w:left="200"/>
              <w:spacing w:after="0"/>
              <w:rPr>
                <w:sz w:val="20"/>
                <w:szCs w:val="20"/>
                <w:color w:val="auto"/>
              </w:rPr>
            </w:pPr>
            <w:r>
              <w:rPr>
                <w:rFonts w:ascii="Arial" w:cs="Arial" w:eastAsia="Arial" w:hAnsi="Arial"/>
                <w:sz w:val="18"/>
                <w:szCs w:val="18"/>
                <w:color w:val="auto"/>
              </w:rPr>
              <w:t>Ozurdex</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107</w:t>
            </w:r>
          </w:p>
        </w:tc>
        <w:tc>
          <w:tcPr>
            <w:tcW w:w="36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247</w:t>
            </w:r>
          </w:p>
        </w:tc>
        <w:tc>
          <w:tcPr>
            <w:tcW w:w="30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354</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90"/>
              <w:spacing w:after="0"/>
              <w:rPr>
                <w:sz w:val="20"/>
                <w:szCs w:val="20"/>
                <w:color w:val="auto"/>
              </w:rPr>
            </w:pPr>
            <w:r>
              <w:rPr>
                <w:rFonts w:ascii="Arial" w:cs="Arial" w:eastAsia="Arial" w:hAnsi="Arial"/>
                <w:sz w:val="18"/>
                <w:szCs w:val="18"/>
                <w:color w:val="auto"/>
                <w:w w:val="95"/>
              </w:rPr>
              <w:t>2.6</w:t>
            </w:r>
          </w:p>
        </w:tc>
        <w:tc>
          <w:tcPr>
            <w:tcW w:w="300" w:type="dxa"/>
            <w:vAlign w:val="bottom"/>
          </w:tcPr>
          <w:p>
            <w:pPr>
              <w:spacing w:after="0"/>
              <w:rPr>
                <w:sz w:val="19"/>
                <w:szCs w:val="19"/>
                <w:color w:val="auto"/>
              </w:rPr>
            </w:pP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13.1</w:t>
            </w:r>
          </w:p>
        </w:tc>
        <w:tc>
          <w:tcPr>
            <w:tcW w:w="34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5"/>
              </w:rPr>
              <w:t>9.7</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1"/>
              </w:rPr>
              <w:t>16.1</w:t>
            </w:r>
          </w:p>
        </w:tc>
        <w:tc>
          <w:tcPr>
            <w:tcW w:w="300" w:type="dxa"/>
            <w:vAlign w:val="bottom"/>
          </w:tcPr>
          <w:p>
            <w:pPr>
              <w:spacing w:after="0"/>
              <w:rPr>
                <w:sz w:val="19"/>
                <w:szCs w:val="19"/>
                <w:color w:val="auto"/>
              </w:rPr>
            </w:pPr>
          </w:p>
        </w:tc>
        <w:tc>
          <w:tcPr>
            <w:tcW w:w="6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11.7</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Lumigan/Ganfort</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142</w:t>
            </w:r>
          </w:p>
        </w:tc>
        <w:tc>
          <w:tcPr>
            <w:tcW w:w="36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198</w:t>
            </w:r>
          </w:p>
        </w:tc>
        <w:tc>
          <w:tcPr>
            <w:tcW w:w="30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340</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93"/>
              </w:rPr>
              <w:t>(23.6)</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w w:val="86"/>
              </w:rPr>
              <w:t>(3.1)</w:t>
            </w:r>
          </w:p>
        </w:tc>
        <w:tc>
          <w:tcPr>
            <w:tcW w:w="340" w:type="dxa"/>
            <w:vAlign w:val="bottom"/>
          </w:tcPr>
          <w:p>
            <w:pPr>
              <w:spacing w:after="0"/>
              <w:rPr>
                <w:sz w:val="19"/>
                <w:szCs w:val="19"/>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3"/>
              </w:rPr>
              <w:t>(12.9)</w:t>
            </w: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30"/>
              <w:spacing w:after="0"/>
              <w:rPr>
                <w:sz w:val="20"/>
                <w:szCs w:val="20"/>
                <w:color w:val="auto"/>
              </w:rPr>
            </w:pPr>
            <w:r>
              <w:rPr>
                <w:rFonts w:ascii="Arial" w:cs="Arial" w:eastAsia="Arial" w:hAnsi="Arial"/>
                <w:sz w:val="18"/>
                <w:szCs w:val="18"/>
                <w:color w:val="auto"/>
                <w:w w:val="91"/>
              </w:rPr>
              <w:t>(0.9)</w:t>
            </w:r>
          </w:p>
        </w:tc>
        <w:tc>
          <w:tcPr>
            <w:tcW w:w="300" w:type="dxa"/>
            <w:vAlign w:val="bottom"/>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89"/>
              </w:rPr>
              <w:t>(11.8)</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Alphagan/Combigan</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90</w:t>
            </w:r>
          </w:p>
        </w:tc>
        <w:tc>
          <w:tcPr>
            <w:tcW w:w="36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116</w:t>
            </w:r>
          </w:p>
        </w:tc>
        <w:tc>
          <w:tcPr>
            <w:tcW w:w="30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206</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93"/>
              </w:rPr>
              <w:t>(43.5)</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w w:val="95"/>
              </w:rPr>
              <w:t>4.2</w:t>
            </w:r>
          </w:p>
        </w:tc>
        <w:tc>
          <w:tcPr>
            <w:tcW w:w="340" w:type="dxa"/>
            <w:vAlign w:val="bottom"/>
          </w:tcPr>
          <w:p>
            <w:pPr>
              <w:spacing w:after="0"/>
              <w:rPr>
                <w:sz w:val="19"/>
                <w:szCs w:val="19"/>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3"/>
              </w:rPr>
              <w:t>(24.0)</w:t>
            </w: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1"/>
              </w:rPr>
              <w:t>10.6</w:t>
            </w:r>
          </w:p>
        </w:tc>
        <w:tc>
          <w:tcPr>
            <w:tcW w:w="300" w:type="dxa"/>
            <w:vAlign w:val="bottom"/>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89"/>
              </w:rPr>
              <w:t>(21.4)</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Restasis</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265</w:t>
            </w:r>
          </w:p>
        </w:tc>
        <w:tc>
          <w:tcPr>
            <w:tcW w:w="36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43</w:t>
            </w:r>
          </w:p>
        </w:tc>
        <w:tc>
          <w:tcPr>
            <w:tcW w:w="30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308</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93"/>
              </w:rPr>
              <w:t>(48.8)</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14.2</w:t>
            </w:r>
          </w:p>
        </w:tc>
        <w:tc>
          <w:tcPr>
            <w:tcW w:w="340" w:type="dxa"/>
            <w:vAlign w:val="bottom"/>
          </w:tcPr>
          <w:p>
            <w:pPr>
              <w:spacing w:after="0"/>
              <w:rPr>
                <w:sz w:val="19"/>
                <w:szCs w:val="19"/>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3"/>
              </w:rPr>
              <w:t>(44.5)</w:t>
            </w: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1"/>
              </w:rPr>
              <w:t>20.1</w:t>
            </w:r>
          </w:p>
        </w:tc>
        <w:tc>
          <w:tcPr>
            <w:tcW w:w="300" w:type="dxa"/>
            <w:vAlign w:val="bottom"/>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89"/>
              </w:rPr>
              <w:t>(44.1)</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Other Eye Care</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334</w:t>
            </w:r>
          </w:p>
        </w:tc>
        <w:tc>
          <w:tcPr>
            <w:tcW w:w="36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288</w:t>
            </w:r>
          </w:p>
        </w:tc>
        <w:tc>
          <w:tcPr>
            <w:tcW w:w="30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622</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91"/>
              </w:rPr>
              <w:t>13.0</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w w:val="95"/>
              </w:rPr>
              <w:t>5.1</w:t>
            </w:r>
          </w:p>
        </w:tc>
        <w:tc>
          <w:tcPr>
            <w:tcW w:w="34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5"/>
              </w:rPr>
              <w:t>9.2</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8.6</w:t>
            </w:r>
          </w:p>
        </w:tc>
        <w:tc>
          <w:tcPr>
            <w:tcW w:w="300" w:type="dxa"/>
            <w:vAlign w:val="bottom"/>
          </w:tcPr>
          <w:p>
            <w:pPr>
              <w:spacing w:after="0"/>
              <w:rPr>
                <w:sz w:val="19"/>
                <w:szCs w:val="19"/>
                <w:color w:val="auto"/>
              </w:rPr>
            </w:pPr>
          </w:p>
        </w:tc>
        <w:tc>
          <w:tcPr>
            <w:tcW w:w="66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10.9</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3640" w:type="dxa"/>
            <w:vAlign w:val="bottom"/>
          </w:tcPr>
          <w:p>
            <w:pPr>
              <w:spacing w:after="0"/>
              <w:rPr>
                <w:sz w:val="20"/>
                <w:szCs w:val="20"/>
                <w:color w:val="auto"/>
              </w:rPr>
            </w:pPr>
            <w:r>
              <w:rPr>
                <w:rFonts w:ascii="Arial" w:cs="Arial" w:eastAsia="Arial" w:hAnsi="Arial"/>
                <w:sz w:val="18"/>
                <w:szCs w:val="18"/>
                <w:b w:val="1"/>
                <w:bCs w:val="1"/>
                <w:color w:val="auto"/>
              </w:rPr>
              <w:t>Other Key Products</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2,222</w:t>
            </w:r>
          </w:p>
        </w:tc>
        <w:tc>
          <w:tcPr>
            <w:tcW w:w="6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6"/>
              </w:rPr>
              <w:t>616</w:t>
            </w:r>
          </w:p>
        </w:tc>
        <w:tc>
          <w:tcPr>
            <w:tcW w:w="30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2,838</w:t>
            </w:r>
          </w:p>
        </w:tc>
        <w:tc>
          <w:tcPr>
            <w:tcW w:w="20" w:type="dxa"/>
            <w:vAlign w:val="bottom"/>
            <w:shd w:val="clear" w:color="auto" w:fill="000000"/>
          </w:tcPr>
          <w:p>
            <w:pPr>
              <w:spacing w:after="0"/>
              <w:rPr>
                <w:sz w:val="24"/>
                <w:szCs w:val="24"/>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(1.0)</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7"/>
              </w:rPr>
              <w:t>(1.2)</w:t>
            </w:r>
          </w:p>
        </w:tc>
        <w:tc>
          <w:tcPr>
            <w:tcW w:w="340" w:type="dxa"/>
            <w:vAlign w:val="bottom"/>
          </w:tcPr>
          <w:p>
            <w:pPr>
              <w:spacing w:after="0"/>
              <w:rPr>
                <w:sz w:val="24"/>
                <w:szCs w:val="24"/>
                <w:color w:val="auto"/>
              </w:rPr>
            </w:pPr>
          </w:p>
        </w:tc>
        <w:tc>
          <w:tcPr>
            <w:tcW w:w="6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1"/>
              </w:rPr>
              <w:t>(1.1)</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2.1</w:t>
            </w:r>
          </w:p>
        </w:tc>
        <w:tc>
          <w:tcPr>
            <w:tcW w:w="300" w:type="dxa"/>
            <w:vAlign w:val="bottom"/>
          </w:tcPr>
          <w:p>
            <w:pPr>
              <w:spacing w:after="0"/>
              <w:rPr>
                <w:sz w:val="24"/>
                <w:szCs w:val="24"/>
                <w:color w:val="auto"/>
              </w:rPr>
            </w:pPr>
          </w:p>
        </w:tc>
        <w:tc>
          <w:tcPr>
            <w:tcW w:w="66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1"/>
              </w:rPr>
              <w:t>(0.4)</w:t>
            </w: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40" w:type="dxa"/>
            <w:vAlign w:val="bottom"/>
          </w:tcPr>
          <w:p>
            <w:pPr>
              <w:ind w:left="200"/>
              <w:spacing w:after="0"/>
              <w:rPr>
                <w:sz w:val="20"/>
                <w:szCs w:val="20"/>
                <w:color w:val="auto"/>
              </w:rPr>
            </w:pPr>
            <w:r>
              <w:rPr>
                <w:rFonts w:ascii="Arial" w:cs="Arial" w:eastAsia="Arial" w:hAnsi="Arial"/>
                <w:sz w:val="18"/>
                <w:szCs w:val="18"/>
                <w:color w:val="auto"/>
              </w:rPr>
              <w:t>Mavyret</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531</w:t>
            </w:r>
          </w:p>
        </w:tc>
        <w:tc>
          <w:tcPr>
            <w:tcW w:w="36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590</w:t>
            </w:r>
          </w:p>
        </w:tc>
        <w:tc>
          <w:tcPr>
            <w:tcW w:w="30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8"/>
              </w:rPr>
              <w:t>1,121</w:t>
            </w: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86"/>
              </w:rPr>
              <w:t>(5.6)</w:t>
            </w: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w w:val="86"/>
              </w:rPr>
              <w:t>(1.5)</w:t>
            </w:r>
          </w:p>
        </w:tc>
        <w:tc>
          <w:tcPr>
            <w:tcW w:w="340" w:type="dxa"/>
            <w:vAlign w:val="bottom"/>
          </w:tcPr>
          <w:p>
            <w:pPr>
              <w:spacing w:after="0"/>
              <w:rPr>
                <w:sz w:val="19"/>
                <w:szCs w:val="19"/>
                <w:color w:val="auto"/>
              </w:rPr>
            </w:pP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(3.5)</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1.8</w:t>
            </w:r>
          </w:p>
        </w:tc>
        <w:tc>
          <w:tcPr>
            <w:tcW w:w="300" w:type="dxa"/>
            <w:vAlign w:val="bottom"/>
          </w:tcPr>
          <w:p>
            <w:pPr>
              <w:spacing w:after="0"/>
              <w:rPr>
                <w:sz w:val="19"/>
                <w:szCs w:val="19"/>
                <w:color w:val="auto"/>
              </w:rPr>
            </w:pPr>
          </w:p>
        </w:tc>
        <w:tc>
          <w:tcPr>
            <w:tcW w:w="66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(1.8)</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Creon</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892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892</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60" w:type="dxa"/>
            <w:vAlign w:val="bottom"/>
            <w:gridSpan w:val="4"/>
          </w:tcPr>
          <w:p>
            <w:pPr>
              <w:jc w:val="center"/>
              <w:spacing w:after="0"/>
              <w:rPr>
                <w:sz w:val="20"/>
                <w:szCs w:val="20"/>
                <w:color w:val="auto"/>
              </w:rPr>
            </w:pPr>
            <w:r>
              <w:rPr>
                <w:rFonts w:ascii="Arial" w:cs="Arial" w:eastAsia="Arial" w:hAnsi="Arial"/>
                <w:sz w:val="18"/>
                <w:szCs w:val="18"/>
                <w:color w:val="auto"/>
                <w:w w:val="86"/>
              </w:rPr>
              <w:t>(5.2)</w:t>
            </w:r>
          </w:p>
        </w:tc>
        <w:tc>
          <w:tcPr>
            <w:tcW w:w="340" w:type="dxa"/>
            <w:vAlign w:val="bottom"/>
          </w:tcPr>
          <w:p>
            <w:pPr>
              <w:spacing w:after="0"/>
              <w:rPr>
                <w:sz w:val="19"/>
                <w:szCs w:val="19"/>
                <w:color w:val="auto"/>
              </w:rPr>
            </w:pPr>
          </w:p>
        </w:tc>
        <w:tc>
          <w:tcPr>
            <w:tcW w:w="700" w:type="dxa"/>
            <w:vAlign w:val="bottom"/>
            <w:gridSpan w:val="2"/>
          </w:tcPr>
          <w:p>
            <w:pPr>
              <w:jc w:val="center"/>
              <w:ind w:right="250"/>
              <w:spacing w:after="0"/>
              <w:rPr>
                <w:sz w:val="20"/>
                <w:szCs w:val="20"/>
                <w:color w:val="auto"/>
              </w:rPr>
            </w:pPr>
            <w:r>
              <w:rPr>
                <w:rFonts w:ascii="Arial" w:cs="Arial" w:eastAsia="Arial" w:hAnsi="Arial"/>
                <w:sz w:val="18"/>
                <w:szCs w:val="18"/>
                <w:color w:val="auto"/>
              </w:rPr>
              <w:t>n/m</w:t>
            </w: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(5.2)</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n/m</w:t>
            </w:r>
          </w:p>
        </w:tc>
        <w:tc>
          <w:tcPr>
            <w:tcW w:w="66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(5.2)</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Linzess/Constella</w:t>
            </w:r>
          </w:p>
        </w:tc>
        <w:tc>
          <w:tcPr>
            <w:tcW w:w="580" w:type="dxa"/>
            <w:vAlign w:val="bottom"/>
            <w:gridSpan w:val="2"/>
          </w:tcPr>
          <w:p>
            <w:pPr>
              <w:jc w:val="center"/>
              <w:ind w:left="190"/>
              <w:spacing w:after="0"/>
              <w:rPr>
                <w:sz w:val="20"/>
                <w:szCs w:val="20"/>
                <w:color w:val="auto"/>
              </w:rPr>
            </w:pPr>
            <w:r>
              <w:rPr>
                <w:rFonts w:ascii="Arial" w:cs="Arial" w:eastAsia="Arial" w:hAnsi="Arial"/>
                <w:sz w:val="18"/>
                <w:szCs w:val="18"/>
                <w:color w:val="auto"/>
                <w:w w:val="86"/>
              </w:rPr>
              <w:t>799</w:t>
            </w:r>
          </w:p>
        </w:tc>
        <w:tc>
          <w:tcPr>
            <w:tcW w:w="360" w:type="dxa"/>
            <w:vAlign w:val="bottom"/>
          </w:tcPr>
          <w:p>
            <w:pPr>
              <w:spacing w:after="0"/>
              <w:rPr>
                <w:sz w:val="19"/>
                <w:szCs w:val="19"/>
                <w:color w:val="auto"/>
              </w:rPr>
            </w:pPr>
          </w:p>
        </w:tc>
        <w:tc>
          <w:tcPr>
            <w:tcW w:w="6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26</w:t>
            </w:r>
          </w:p>
        </w:tc>
        <w:tc>
          <w:tcPr>
            <w:tcW w:w="300" w:type="dxa"/>
            <w:vAlign w:val="bottom"/>
          </w:tcPr>
          <w:p>
            <w:pPr>
              <w:spacing w:after="0"/>
              <w:rPr>
                <w:sz w:val="19"/>
                <w:szCs w:val="19"/>
                <w:color w:val="auto"/>
              </w:rPr>
            </w:pPr>
          </w:p>
        </w:tc>
        <w:tc>
          <w:tcPr>
            <w:tcW w:w="68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825</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290"/>
              <w:spacing w:after="0"/>
              <w:rPr>
                <w:sz w:val="20"/>
                <w:szCs w:val="20"/>
                <w:color w:val="auto"/>
              </w:rPr>
            </w:pPr>
            <w:r>
              <w:rPr>
                <w:rFonts w:ascii="Arial" w:cs="Arial" w:eastAsia="Arial" w:hAnsi="Arial"/>
                <w:sz w:val="18"/>
                <w:szCs w:val="18"/>
                <w:color w:val="auto"/>
                <w:w w:val="95"/>
              </w:rPr>
              <w:t>7.7</w:t>
            </w:r>
          </w:p>
        </w:tc>
        <w:tc>
          <w:tcPr>
            <w:tcW w:w="300" w:type="dxa"/>
            <w:vAlign w:val="bottom"/>
          </w:tcPr>
          <w:p>
            <w:pPr>
              <w:spacing w:after="0"/>
              <w:rPr>
                <w:sz w:val="19"/>
                <w:szCs w:val="19"/>
                <w:color w:val="auto"/>
              </w:rPr>
            </w:pPr>
          </w:p>
        </w:tc>
        <w:tc>
          <w:tcPr>
            <w:tcW w:w="700" w:type="dxa"/>
            <w:vAlign w:val="bottom"/>
            <w:gridSpan w:val="2"/>
          </w:tcPr>
          <w:p>
            <w:pPr>
              <w:jc w:val="center"/>
              <w:ind w:left="250"/>
              <w:spacing w:after="0"/>
              <w:rPr>
                <w:sz w:val="20"/>
                <w:szCs w:val="20"/>
                <w:color w:val="auto"/>
              </w:rPr>
            </w:pPr>
            <w:r>
              <w:rPr>
                <w:rFonts w:ascii="Arial" w:cs="Arial" w:eastAsia="Arial" w:hAnsi="Arial"/>
                <w:sz w:val="18"/>
                <w:szCs w:val="18"/>
                <w:color w:val="auto"/>
                <w:w w:val="95"/>
              </w:rPr>
              <w:t>7.0</w:t>
            </w:r>
          </w:p>
        </w:tc>
        <w:tc>
          <w:tcPr>
            <w:tcW w:w="340" w:type="dxa"/>
            <w:vAlign w:val="bottom"/>
          </w:tcPr>
          <w:p>
            <w:pPr>
              <w:spacing w:after="0"/>
              <w:rPr>
                <w:sz w:val="19"/>
                <w:szCs w:val="19"/>
                <w:color w:val="auto"/>
              </w:rPr>
            </w:pPr>
          </w:p>
        </w:tc>
        <w:tc>
          <w:tcPr>
            <w:tcW w:w="620" w:type="dxa"/>
            <w:vAlign w:val="bottom"/>
            <w:gridSpan w:val="2"/>
          </w:tcPr>
          <w:p>
            <w:pPr>
              <w:jc w:val="center"/>
              <w:ind w:left="170"/>
              <w:spacing w:after="0"/>
              <w:rPr>
                <w:sz w:val="20"/>
                <w:szCs w:val="20"/>
                <w:color w:val="auto"/>
              </w:rPr>
            </w:pPr>
            <w:r>
              <w:rPr>
                <w:rFonts w:ascii="Arial" w:cs="Arial" w:eastAsia="Arial" w:hAnsi="Arial"/>
                <w:sz w:val="18"/>
                <w:szCs w:val="18"/>
                <w:color w:val="auto"/>
                <w:w w:val="95"/>
              </w:rPr>
              <w:t>7.7</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9.3</w:t>
            </w:r>
          </w:p>
        </w:tc>
        <w:tc>
          <w:tcPr>
            <w:tcW w:w="300" w:type="dxa"/>
            <w:vAlign w:val="bottom"/>
          </w:tcPr>
          <w:p>
            <w:pPr>
              <w:spacing w:after="0"/>
              <w:rPr>
                <w:sz w:val="19"/>
                <w:szCs w:val="19"/>
                <w:color w:val="auto"/>
              </w:rPr>
            </w:pPr>
          </w:p>
        </w:tc>
        <w:tc>
          <w:tcPr>
            <w:tcW w:w="660" w:type="dxa"/>
            <w:vAlign w:val="bottom"/>
            <w:gridSpan w:val="2"/>
          </w:tcPr>
          <w:p>
            <w:pPr>
              <w:jc w:val="center"/>
              <w:ind w:left="190"/>
              <w:spacing w:after="0"/>
              <w:rPr>
                <w:sz w:val="20"/>
                <w:szCs w:val="20"/>
                <w:color w:val="auto"/>
              </w:rPr>
            </w:pPr>
            <w:r>
              <w:rPr>
                <w:rFonts w:ascii="Arial" w:cs="Arial" w:eastAsia="Arial" w:hAnsi="Arial"/>
                <w:sz w:val="18"/>
                <w:szCs w:val="18"/>
                <w:color w:val="auto"/>
                <w:w w:val="87"/>
              </w:rPr>
              <w:t>7.8</w:t>
            </w:r>
          </w:p>
        </w:tc>
        <w:tc>
          <w:tcPr>
            <w:tcW w:w="2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80" w:hanging="72"/>
        <w:spacing w:after="0"/>
        <w:tabs>
          <w:tab w:leader="none" w:pos="8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"Operatonal" comparisons are presented at constant currency rates that refect comparatve local currency net revenues at the prior year's foreign exchange rates.</w:t>
      </w:r>
    </w:p>
    <w:p>
      <w:pPr>
        <w:spacing w:after="0" w:line="38" w:lineRule="exact"/>
        <w:rPr>
          <w:sz w:val="20"/>
          <w:szCs w:val="20"/>
          <w:color w:val="auto"/>
        </w:rPr>
      </w:pPr>
    </w:p>
    <w:p>
      <w:pPr>
        <w:ind w:left="80" w:hanging="72"/>
        <w:spacing w:after="0"/>
        <w:tabs>
          <w:tab w:leader="none" w:pos="8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Refects proft sharing for Imbruvica internatonal revenues.</w:t>
      </w:r>
    </w:p>
    <w:p>
      <w:pPr>
        <w:spacing w:after="0" w:line="88" w:lineRule="exact"/>
        <w:rPr>
          <w:sz w:val="20"/>
          <w:szCs w:val="20"/>
          <w:color w:val="auto"/>
        </w:rPr>
      </w:pPr>
    </w:p>
    <w:p>
      <w:pPr>
        <w:ind w:right="8400" w:firstLine="8"/>
        <w:spacing w:after="0" w:line="504" w:lineRule="auto"/>
        <w:tabs>
          <w:tab w:leader="none" w:pos="61" w:val="left"/>
        </w:tabs>
        <w:numPr>
          <w:ilvl w:val="0"/>
          <w:numId w:val="11"/>
        </w:numPr>
        <w:rPr>
          <w:rFonts w:ascii="Arial" w:cs="Arial" w:eastAsia="Arial" w:hAnsi="Arial"/>
          <w:sz w:val="15"/>
          <w:szCs w:val="15"/>
          <w:color w:val="auto"/>
          <w:vertAlign w:val="superscript"/>
        </w:rPr>
      </w:pPr>
      <w:r>
        <w:rPr>
          <w:rFonts w:ascii="Arial" w:cs="Arial" w:eastAsia="Arial" w:hAnsi="Arial"/>
          <w:sz w:val="11"/>
          <w:szCs w:val="11"/>
          <w:color w:val="auto"/>
        </w:rPr>
        <w:t>Refects proft sharing for Epkinly U.S. revenues. n/m = not meaningful</w:t>
      </w:r>
    </w:p>
    <w:p>
      <w:pPr>
        <w:spacing w:after="0" w:line="330" w:lineRule="exact"/>
        <w:rPr>
          <w:sz w:val="20"/>
          <w:szCs w:val="20"/>
          <w:color w:val="auto"/>
        </w:rPr>
      </w:pPr>
    </w:p>
    <w:p>
      <w:pPr>
        <w:ind w:left="1114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60"/>
          </w:cols>
          <w:pgMar w:left="320" w:top="865"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AbbVie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Earnings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Third Quarter</w:t>
            </w:r>
          </w:p>
        </w:tc>
        <w:tc>
          <w:tcPr>
            <w:tcW w:w="26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920" w:type="dxa"/>
            <w:vAlign w:val="bottom"/>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260" w:type="dxa"/>
            <w:vAlign w:val="bottom"/>
          </w:tcPr>
          <w:p>
            <w:pPr>
              <w:spacing w:after="0"/>
              <w:rPr>
                <w:sz w:val="21"/>
                <w:szCs w:val="21"/>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6"/>
              </w:rPr>
              <w:t>Ended September 30</w:t>
            </w:r>
          </w:p>
        </w:tc>
        <w:tc>
          <w:tcPr>
            <w:tcW w:w="260" w:type="dxa"/>
            <w:vAlign w:val="bottom"/>
          </w:tcPr>
          <w:p>
            <w:pPr>
              <w:spacing w:after="0"/>
              <w:rPr>
                <w:sz w:val="21"/>
                <w:szCs w:val="21"/>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04"/>
        </w:trPr>
        <w:tc>
          <w:tcPr>
            <w:tcW w:w="5920" w:type="dxa"/>
            <w:vAlign w:val="bottom"/>
          </w:tcPr>
          <w:p>
            <w:pPr>
              <w:spacing w:after="0" w:line="204" w:lineRule="exact"/>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70"/>
              <w:spacing w:after="0" w:line="204"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4" w:lineRule="exact"/>
              <w:rPr>
                <w:sz w:val="20"/>
                <w:szCs w:val="20"/>
                <w:color w:val="auto"/>
              </w:rPr>
            </w:pPr>
            <w:r>
              <w:rPr>
                <w:rFonts w:ascii="Arial" w:cs="Arial" w:eastAsia="Arial" w:hAnsi="Arial"/>
                <w:sz w:val="18"/>
                <w:szCs w:val="18"/>
                <w:color w:val="auto"/>
              </w:rPr>
              <w:t>13,927</w:t>
            </w:r>
          </w:p>
        </w:tc>
        <w:tc>
          <w:tcPr>
            <w:tcW w:w="100" w:type="dxa"/>
            <w:vAlign w:val="bottom"/>
          </w:tcPr>
          <w:p>
            <w:pPr>
              <w:spacing w:after="0"/>
              <w:rPr>
                <w:sz w:val="17"/>
                <w:szCs w:val="17"/>
                <w:color w:val="auto"/>
              </w:rPr>
            </w:pPr>
          </w:p>
        </w:tc>
        <w:tc>
          <w:tcPr>
            <w:tcW w:w="280" w:type="dxa"/>
            <w:vAlign w:val="bottom"/>
          </w:tcPr>
          <w:p>
            <w:pPr>
              <w:jc w:val="right"/>
              <w:ind w:right="70"/>
              <w:spacing w:after="0" w:line="204"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14,812</w:t>
            </w:r>
          </w:p>
        </w:tc>
        <w:tc>
          <w:tcPr>
            <w:tcW w:w="120" w:type="dxa"/>
            <w:vAlign w:val="bottom"/>
          </w:tcPr>
          <w:p>
            <w:pPr>
              <w:spacing w:after="0"/>
              <w:rPr>
                <w:sz w:val="17"/>
                <w:szCs w:val="17"/>
                <w:color w:val="auto"/>
              </w:rPr>
            </w:pPr>
          </w:p>
        </w:tc>
        <w:tc>
          <w:tcPr>
            <w:tcW w:w="260" w:type="dxa"/>
            <w:vAlign w:val="bottom"/>
          </w:tcPr>
          <w:p>
            <w:pPr>
              <w:jc w:val="right"/>
              <w:ind w:right="70"/>
              <w:spacing w:after="0" w:line="204"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4" w:lineRule="exact"/>
              <w:rPr>
                <w:sz w:val="20"/>
                <w:szCs w:val="20"/>
                <w:color w:val="auto"/>
              </w:rPr>
            </w:pPr>
            <w:r>
              <w:rPr>
                <w:rFonts w:ascii="Arial" w:cs="Arial" w:eastAsia="Arial" w:hAnsi="Arial"/>
                <w:sz w:val="18"/>
                <w:szCs w:val="18"/>
                <w:color w:val="auto"/>
              </w:rPr>
              <w:t>40,017</w:t>
            </w:r>
          </w:p>
        </w:tc>
        <w:tc>
          <w:tcPr>
            <w:tcW w:w="100" w:type="dxa"/>
            <w:vAlign w:val="bottom"/>
          </w:tcPr>
          <w:p>
            <w:pPr>
              <w:spacing w:after="0"/>
              <w:rPr>
                <w:sz w:val="17"/>
                <w:szCs w:val="17"/>
                <w:color w:val="auto"/>
              </w:rPr>
            </w:pPr>
          </w:p>
        </w:tc>
        <w:tc>
          <w:tcPr>
            <w:tcW w:w="440" w:type="dxa"/>
            <w:vAlign w:val="bottom"/>
          </w:tcPr>
          <w:p>
            <w:pPr>
              <w:jc w:val="right"/>
              <w:ind w:right="230"/>
              <w:spacing w:after="0" w:line="204"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204" w:lineRule="exact"/>
              <w:rPr>
                <w:sz w:val="20"/>
                <w:szCs w:val="20"/>
                <w:color w:val="auto"/>
              </w:rPr>
            </w:pPr>
            <w:r>
              <w:rPr>
                <w:rFonts w:ascii="Arial" w:cs="Arial" w:eastAsia="Arial" w:hAnsi="Arial"/>
                <w:sz w:val="18"/>
                <w:szCs w:val="18"/>
                <w:color w:val="auto"/>
              </w:rPr>
              <w:t>42,933</w:t>
            </w:r>
          </w:p>
        </w:tc>
        <w:tc>
          <w:tcPr>
            <w:tcW w:w="0" w:type="dxa"/>
            <w:vAlign w:val="bottom"/>
          </w:tcPr>
          <w:p>
            <w:pPr>
              <w:spacing w:after="0"/>
              <w:rPr>
                <w:sz w:val="1"/>
                <w:szCs w:val="1"/>
                <w:color w:val="auto"/>
              </w:rPr>
            </w:pPr>
          </w:p>
        </w:tc>
      </w:tr>
      <w:tr>
        <w:trPr>
          <w:trHeight w:val="227"/>
        </w:trPr>
        <w:tc>
          <w:tcPr>
            <w:tcW w:w="5920" w:type="dxa"/>
            <w:vAlign w:val="bottom"/>
          </w:tcPr>
          <w:p>
            <w:pPr>
              <w:spacing w:after="0"/>
              <w:rPr>
                <w:sz w:val="20"/>
                <w:szCs w:val="20"/>
                <w:color w:val="auto"/>
              </w:rPr>
            </w:pPr>
            <w:r>
              <w:rPr>
                <w:rFonts w:ascii="Arial" w:cs="Arial" w:eastAsia="Arial" w:hAnsi="Arial"/>
                <w:sz w:val="18"/>
                <w:szCs w:val="18"/>
                <w:color w:val="auto"/>
              </w:rPr>
              <w:t>Cost of products sold</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13,244</w:t>
            </w: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Selling, general and administratve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11,843</w:t>
            </w: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Acquired IPR&amp;D and milestones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Other operatng expense (income), net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
        </w:trPr>
        <w:tc>
          <w:tcPr>
            <w:tcW w:w="5920" w:type="dxa"/>
            <w:vAlign w:val="bottom"/>
            <w:vMerge w:val="restart"/>
          </w:tcPr>
          <w:p>
            <w:pPr>
              <w:spacing w:after="0"/>
              <w:rPr>
                <w:sz w:val="20"/>
                <w:szCs w:val="20"/>
                <w:color w:val="auto"/>
              </w:rPr>
            </w:pPr>
            <w:r>
              <w:rPr>
                <w:rFonts w:ascii="Arial" w:cs="Arial" w:eastAsia="Arial" w:hAnsi="Arial"/>
                <w:sz w:val="18"/>
                <w:szCs w:val="18"/>
                <w:color w:val="auto"/>
              </w:rPr>
              <w:t>Total operatng costs and expenses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592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30,455</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30,318</w:t>
            </w:r>
          </w:p>
        </w:tc>
        <w:tc>
          <w:tcPr>
            <w:tcW w:w="0" w:type="dxa"/>
            <w:vAlign w:val="bottom"/>
          </w:tcPr>
          <w:p>
            <w:pPr>
              <w:spacing w:after="0"/>
              <w:rPr>
                <w:sz w:val="1"/>
                <w:szCs w:val="1"/>
                <w:color w:val="auto"/>
              </w:rPr>
            </w:pPr>
          </w:p>
        </w:tc>
      </w:tr>
      <w:tr>
        <w:trPr>
          <w:trHeight w:val="446"/>
        </w:trPr>
        <w:tc>
          <w:tcPr>
            <w:tcW w:w="5920" w:type="dxa"/>
            <w:vAlign w:val="bottom"/>
          </w:tcPr>
          <w:p>
            <w:pPr>
              <w:spacing w:after="0"/>
              <w:rPr>
                <w:sz w:val="20"/>
                <w:szCs w:val="20"/>
                <w:color w:val="auto"/>
              </w:rPr>
            </w:pPr>
            <w:r>
              <w:rPr>
                <w:rFonts w:ascii="Arial" w:cs="Arial" w:eastAsia="Arial" w:hAnsi="Arial"/>
                <w:sz w:val="18"/>
                <w:szCs w:val="18"/>
                <w:color w:val="auto"/>
              </w:rPr>
              <w:t>Operatng earnings</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4,603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9,562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486"/>
        </w:trPr>
        <w:tc>
          <w:tcPr>
            <w:tcW w:w="592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Net foreign exchange loss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
        </w:trPr>
        <w:tc>
          <w:tcPr>
            <w:tcW w:w="5920" w:type="dxa"/>
            <w:vAlign w:val="bottom"/>
            <w:vMerge w:val="restart"/>
          </w:tcPr>
          <w:p>
            <w:pPr>
              <w:spacing w:after="0"/>
              <w:rPr>
                <w:sz w:val="20"/>
                <w:szCs w:val="20"/>
                <w:color w:val="auto"/>
              </w:rPr>
            </w:pPr>
            <w:r>
              <w:rPr>
                <w:rFonts w:ascii="Arial" w:cs="Arial" w:eastAsia="Arial" w:hAnsi="Arial"/>
                <w:sz w:val="18"/>
                <w:szCs w:val="18"/>
                <w:color w:val="auto"/>
              </w:rPr>
              <w:t>Earnings before income tax expense</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59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4" w:lineRule="exact"/>
              <w:rPr>
                <w:sz w:val="20"/>
                <w:szCs w:val="20"/>
                <w:color w:val="auto"/>
              </w:rPr>
            </w:pPr>
            <w:r>
              <w:rPr>
                <w:rFonts w:ascii="Arial" w:cs="Arial" w:eastAsia="Arial" w:hAnsi="Arial"/>
                <w:sz w:val="18"/>
                <w:szCs w:val="18"/>
                <w:color w:val="auto"/>
              </w:rPr>
              <w:t>1,953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4,400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4" w:lineRule="exact"/>
              <w:rPr>
                <w:sz w:val="20"/>
                <w:szCs w:val="20"/>
                <w:color w:val="auto"/>
              </w:rPr>
            </w:pPr>
            <w:r>
              <w:rPr>
                <w:rFonts w:ascii="Arial" w:cs="Arial" w:eastAsia="Arial" w:hAnsi="Arial"/>
                <w:sz w:val="18"/>
                <w:szCs w:val="18"/>
                <w:color w:val="auto"/>
              </w:rPr>
              <w:t>5,038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line="204" w:lineRule="exact"/>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27"/>
        </w:trPr>
        <w:tc>
          <w:tcPr>
            <w:tcW w:w="592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
        </w:trPr>
        <w:tc>
          <w:tcPr>
            <w:tcW w:w="5920" w:type="dxa"/>
            <w:vAlign w:val="bottom"/>
            <w:vMerge w:val="restart"/>
          </w:tcPr>
          <w:p>
            <w:pPr>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59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4" w:lineRule="exact"/>
              <w:rPr>
                <w:sz w:val="20"/>
                <w:szCs w:val="20"/>
                <w:color w:val="auto"/>
              </w:rPr>
            </w:pPr>
            <w:r>
              <w:rPr>
                <w:rFonts w:ascii="Arial" w:cs="Arial" w:eastAsia="Arial" w:hAnsi="Arial"/>
                <w:sz w:val="18"/>
                <w:szCs w:val="18"/>
                <w:color w:val="auto"/>
              </w:rPr>
              <w:t>1,781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3,952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4" w:lineRule="exact"/>
              <w:rPr>
                <w:sz w:val="20"/>
                <w:szCs w:val="20"/>
                <w:color w:val="auto"/>
              </w:rPr>
            </w:pPr>
            <w:r>
              <w:rPr>
                <w:rFonts w:ascii="Arial" w:cs="Arial" w:eastAsia="Arial" w:hAnsi="Arial"/>
                <w:sz w:val="18"/>
                <w:szCs w:val="18"/>
                <w:color w:val="auto"/>
              </w:rPr>
              <w:t>4,049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line="204" w:lineRule="exact"/>
              <w:rPr>
                <w:sz w:val="20"/>
                <w:szCs w:val="20"/>
                <w:color w:val="auto"/>
              </w:rPr>
            </w:pPr>
            <w:r>
              <w:rPr>
                <w:rFonts w:ascii="Arial" w:cs="Arial" w:eastAsia="Arial" w:hAnsi="Arial"/>
                <w:sz w:val="18"/>
                <w:szCs w:val="18"/>
                <w:color w:val="auto"/>
              </w:rPr>
              <w:t>9,373</w:t>
            </w:r>
          </w:p>
        </w:tc>
        <w:tc>
          <w:tcPr>
            <w:tcW w:w="0" w:type="dxa"/>
            <w:vAlign w:val="bottom"/>
          </w:tcPr>
          <w:p>
            <w:pPr>
              <w:spacing w:after="0"/>
              <w:rPr>
                <w:sz w:val="1"/>
                <w:szCs w:val="1"/>
                <w:color w:val="auto"/>
              </w:rPr>
            </w:pPr>
          </w:p>
        </w:tc>
      </w:tr>
      <w:tr>
        <w:trPr>
          <w:trHeight w:val="227"/>
        </w:trPr>
        <w:tc>
          <w:tcPr>
            <w:tcW w:w="5920" w:type="dxa"/>
            <w:vAlign w:val="bottom"/>
          </w:tcPr>
          <w:p>
            <w:pPr>
              <w:spacing w:after="0"/>
              <w:rPr>
                <w:sz w:val="20"/>
                <w:szCs w:val="20"/>
                <w:color w:val="auto"/>
              </w:rPr>
            </w:pPr>
            <w:r>
              <w:rPr>
                <w:rFonts w:ascii="Arial" w:cs="Arial" w:eastAsia="Arial" w:hAnsi="Arial"/>
                <w:sz w:val="18"/>
                <w:szCs w:val="18"/>
                <w:color w:val="auto"/>
              </w:rPr>
              <w:t>Net earnings atributable to noncontrolling interest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Net earnings atributable to AbbVie Inc.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9,363</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20" w:type="dxa"/>
            <w:vAlign w:val="bottom"/>
          </w:tcPr>
          <w:p>
            <w:pPr>
              <w:spacing w:after="0"/>
              <w:rPr>
                <w:sz w:val="20"/>
                <w:szCs w:val="20"/>
                <w:color w:val="auto"/>
              </w:rPr>
            </w:pPr>
            <w:r>
              <w:rPr>
                <w:rFonts w:ascii="Arial" w:cs="Arial" w:eastAsia="Arial" w:hAnsi="Arial"/>
                <w:sz w:val="18"/>
                <w:szCs w:val="18"/>
                <w:color w:val="auto"/>
              </w:rPr>
              <w:t>Diluted earnings per share atributable to AbbVie Inc.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20" w:type="dxa"/>
            <w:vAlign w:val="bottom"/>
          </w:tcPr>
          <w:p>
            <w:pPr>
              <w:spacing w:after="0"/>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23"/>
                <w:szCs w:val="23"/>
                <w:color w:val="auto"/>
                <w:vertAlign w:val="superscript"/>
              </w:rPr>
              <w:t>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5920" w:type="dxa"/>
            <w:vAlign w:val="bottom"/>
          </w:tcPr>
          <w:p>
            <w:pPr>
              <w:spacing w:after="0"/>
              <w:rPr>
                <w:sz w:val="20"/>
                <w:szCs w:val="20"/>
                <w:color w:val="auto"/>
              </w:rPr>
            </w:pPr>
            <w:r>
              <w:rPr>
                <w:rFonts w:ascii="Arial" w:cs="Arial" w:eastAsia="Arial" w:hAnsi="Arial"/>
                <w:sz w:val="18"/>
                <w:szCs w:val="18"/>
                <w:color w:val="auto"/>
              </w:rPr>
              <w:t>Weighted-average diluted shares outstanding</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Refer to the Reconciliaton of GAAP Reported to Non-GAAP Adjusted Informaton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865"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b w:val="1"/>
          <w:bCs w:val="1"/>
          <w:color w:val="auto"/>
        </w:rPr>
        <w:t>AbbVie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Reconciliaton of GAAP Reported to Non-GAAP Adjusted Informaton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240"/>
          </w:cols>
          <w:pgMar w:left="320" w:top="1040" w:right="339" w:bottom="1440" w:gutter="0" w:footer="0" w:header="0"/>
        </w:sectPr>
      </w:pPr>
    </w:p>
    <w:p>
      <w:pPr>
        <w:spacing w:after="0" w:line="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Specifed items impacted results as follows: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 except per share data)</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reported (GAAP)</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for specifed items: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amortzaton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impairment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Acquisiton and integraton costs</w:t>
      </w:r>
    </w:p>
    <w:p>
      <w:pPr>
        <w:spacing w:after="0" w:line="23" w:lineRule="exact"/>
        <w:rPr>
          <w:sz w:val="20"/>
          <w:szCs w:val="20"/>
          <w:color w:val="auto"/>
        </w:rPr>
      </w:pPr>
    </w:p>
    <w:p>
      <w:pPr>
        <w:ind w:left="140" w:right="2340"/>
        <w:spacing w:after="0" w:line="288" w:lineRule="auto"/>
        <w:rPr>
          <w:sz w:val="20"/>
          <w:szCs w:val="20"/>
          <w:color w:val="auto"/>
        </w:rPr>
      </w:pPr>
      <w:r>
        <w:rPr>
          <w:rFonts w:ascii="Arial" w:cs="Arial" w:eastAsia="Arial" w:hAnsi="Arial"/>
          <w:sz w:val="18"/>
          <w:szCs w:val="18"/>
          <w:color w:val="auto"/>
        </w:rPr>
        <w:t>Change in fair value of contngent consideraton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adjusted (non-GAAP)</w:t>
      </w:r>
    </w:p>
    <w:p>
      <w:pPr>
        <w:spacing w:after="0" w:line="90"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Represents net earnings atributable to AbbVie Inc.</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Quarter Ended September 30, 2023</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Diluted</w:t>
            </w: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vMerge w:val="restart"/>
          </w:tcPr>
          <w:p>
            <w:pPr>
              <w:jc w:val="right"/>
              <w:ind w:right="510"/>
              <w:spacing w:after="0"/>
              <w:rPr>
                <w:sz w:val="20"/>
                <w:szCs w:val="20"/>
                <w:color w:val="auto"/>
              </w:rPr>
            </w:pPr>
            <w:r>
              <w:rPr>
                <w:rFonts w:ascii="Arial" w:cs="Arial" w:eastAsia="Arial" w:hAnsi="Arial"/>
                <w:sz w:val="18"/>
                <w:szCs w:val="18"/>
                <w:color w:val="auto"/>
              </w:rPr>
              <w:t>EPS</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Pre-tax</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line="223" w:lineRule="exact"/>
              <w:rPr>
                <w:sz w:val="20"/>
                <w:szCs w:val="20"/>
                <w:color w:val="auto"/>
              </w:rPr>
            </w:pPr>
            <w:r>
              <w:rPr>
                <w:rFonts w:ascii="Arial" w:cs="Arial" w:eastAsia="Arial" w:hAnsi="Arial"/>
                <w:sz w:val="18"/>
                <w:szCs w:val="18"/>
                <w:color w:val="auto"/>
              </w:rPr>
              <w:t>Afer-tax</w:t>
            </w:r>
            <w:r>
              <w:rPr>
                <w:rFonts w:ascii="Arial" w:cs="Arial" w:eastAsia="Arial" w:hAnsi="Arial"/>
                <w:sz w:val="23"/>
                <w:szCs w:val="23"/>
                <w:color w:val="auto"/>
                <w:vertAlign w:val="superscript"/>
              </w:rPr>
              <w:t>a</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1,953</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1,778</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436"/>
        </w:trPr>
        <w:tc>
          <w:tcPr>
            <w:tcW w:w="28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2,039</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1,728</w:t>
            </w: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2,114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1,660</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6,233</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5,250</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w:t>
            </w:r>
          </w:p>
        </w:tc>
        <w:tc>
          <w:tcPr>
            <w:tcW w:w="0" w:type="dxa"/>
            <w:vAlign w:val="bottom"/>
          </w:tcPr>
          <w:p>
            <w:pPr>
              <w:spacing w:after="0"/>
              <w:rPr>
                <w:sz w:val="1"/>
                <w:szCs w:val="1"/>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-1525270</wp:posOffset>
            </wp:positionV>
            <wp:extent cx="28975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399" w:lineRule="exact"/>
        <w:rPr>
          <w:sz w:val="20"/>
          <w:szCs w:val="20"/>
          <w:color w:val="auto"/>
        </w:rPr>
      </w:pPr>
    </w:p>
    <w:p>
      <w:pPr>
        <w:sectPr>
          <w:pgSz w:w="11900" w:h="16838" w:orient="portrait"/>
          <w:cols w:equalWidth="0" w:num="2">
            <w:col w:w="5960" w:space="720"/>
            <w:col w:w="4560"/>
          </w:cols>
          <w:pgMar w:left="320" w:top="1040" w:right="339" w:bottom="1440" w:gutter="0" w:footer="0" w:header="0"/>
          <w:type w:val="continuous"/>
        </w:sectPr>
      </w:pPr>
    </w:p>
    <w:p>
      <w:pPr>
        <w:ind w:right="100"/>
        <w:spacing w:after="0" w:line="246" w:lineRule="auto"/>
        <w:rPr>
          <w:sz w:val="20"/>
          <w:szCs w:val="20"/>
          <w:color w:val="auto"/>
        </w:rPr>
      </w:pPr>
      <w:r>
        <w:rPr>
          <w:rFonts w:ascii="Arial" w:cs="Arial" w:eastAsia="Arial" w:hAnsi="Arial"/>
          <w:sz w:val="18"/>
          <w:szCs w:val="18"/>
          <w:color w:val="auto"/>
        </w:rPr>
        <w:t>Intangible asset impairment refects a partal impairment charge related to the U.S. Imbruvica intangible asset acquired as part of the 2015 acquisiton of Pharmacyclics, Inc. The intangible asset impairment was triggered by selecton of Imbruvica for price negotaton as part of the IRA of 2022, which contributed to a signifcant decrease in the estmated future cash fows for the product.</w:t>
      </w:r>
    </w:p>
    <w:p>
      <w:pPr>
        <w:spacing w:after="0" w:line="147" w:lineRule="exact"/>
        <w:rPr>
          <w:sz w:val="20"/>
          <w:szCs w:val="20"/>
          <w:color w:val="auto"/>
        </w:rPr>
      </w:pPr>
    </w:p>
    <w:p>
      <w:pPr>
        <w:ind w:right="400"/>
        <w:spacing w:after="0" w:line="320" w:lineRule="auto"/>
        <w:rPr>
          <w:sz w:val="20"/>
          <w:szCs w:val="20"/>
          <w:color w:val="auto"/>
        </w:rPr>
      </w:pPr>
      <w:r>
        <w:rPr>
          <w:rFonts w:ascii="Arial" w:cs="Arial" w:eastAsia="Arial" w:hAnsi="Arial"/>
          <w:sz w:val="16"/>
          <w:szCs w:val="16"/>
          <w:color w:val="auto"/>
        </w:rPr>
        <w:t>Reported GAAP earnings and adjusted non-GAAP earnings for the three months ended September 30, 2023 included acquired IPR&amp;D and milestones expense of $66 million on a pre-tax and afer-tax basis, representng an unfavorable impact of $0.04 to both diluted EPS and adjusted diluted EPS.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00" w:type="dxa"/>
            <w:vAlign w:val="bottom"/>
          </w:tcPr>
          <w:p>
            <w:pPr>
              <w:spacing w:after="0"/>
              <w:rPr>
                <w:sz w:val="20"/>
                <w:szCs w:val="20"/>
                <w:color w:val="auto"/>
              </w:rPr>
            </w:pPr>
            <w:r>
              <w:rPr>
                <w:rFonts w:ascii="Arial" w:cs="Arial" w:eastAsia="Arial" w:hAnsi="Arial"/>
                <w:sz w:val="18"/>
                <w:szCs w:val="18"/>
                <w:color w:val="auto"/>
              </w:rPr>
              <w:t>2. The impact of the specifed items by line item was as follows: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6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w:t>
            </w:r>
          </w:p>
        </w:tc>
        <w:tc>
          <w:tcPr>
            <w:tcW w:w="2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Quarter Ended September 30, 2023</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230"/>
              <w:spacing w:after="0"/>
              <w:rPr>
                <w:sz w:val="20"/>
                <w:szCs w:val="20"/>
                <w:color w:val="auto"/>
              </w:rPr>
            </w:pPr>
            <w:r>
              <w:rPr>
                <w:rFonts w:ascii="Arial" w:cs="Arial" w:eastAsia="Arial" w:hAnsi="Arial"/>
                <w:sz w:val="18"/>
                <w:szCs w:val="18"/>
                <w:color w:val="auto"/>
              </w:rPr>
              <w:t>Cost of</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70"/>
              <w:spacing w:after="0" w:line="162"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75"/>
        </w:trPr>
        <w:tc>
          <w:tcPr>
            <w:tcW w:w="6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8"/>
              </w:rPr>
              <w:t>expense</w:t>
            </w: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w w:val="98"/>
              </w:rPr>
              <w:t>products sold</w:t>
            </w:r>
          </w:p>
        </w:tc>
        <w:tc>
          <w:tcPr>
            <w:tcW w:w="26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w w:val="99"/>
              </w:rPr>
              <w:t>SG&amp;A</w:t>
            </w:r>
          </w:p>
        </w:tc>
        <w:tc>
          <w:tcPr>
            <w:tcW w:w="2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R&amp;D</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3"/>
              </w:rPr>
              <w:t>(income), net</w:t>
            </w:r>
          </w:p>
        </w:tc>
        <w:tc>
          <w:tcPr>
            <w:tcW w:w="0" w:type="dxa"/>
            <w:vAlign w:val="bottom"/>
          </w:tcPr>
          <w:p>
            <w:pPr>
              <w:spacing w:after="0"/>
              <w:rPr>
                <w:sz w:val="1"/>
                <w:szCs w:val="1"/>
                <w:color w:val="auto"/>
              </w:rPr>
            </w:pPr>
          </w:p>
        </w:tc>
      </w:tr>
      <w:tr>
        <w:trPr>
          <w:trHeight w:val="22"/>
        </w:trPr>
        <w:tc>
          <w:tcPr>
            <w:tcW w:w="6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reported (GAAP)</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6600" w:type="dxa"/>
            <w:vAlign w:val="bottom"/>
            <w:vMerge w:val="continue"/>
          </w:tcPr>
          <w:p>
            <w:pPr>
              <w:spacing w:after="0"/>
              <w:rPr>
                <w:sz w:val="17"/>
                <w:szCs w:val="17"/>
                <w:color w:val="auto"/>
              </w:rPr>
            </w:pPr>
          </w:p>
        </w:tc>
        <w:tc>
          <w:tcPr>
            <w:tcW w:w="20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line="204" w:lineRule="exact"/>
              <w:rPr>
                <w:sz w:val="20"/>
                <w:szCs w:val="20"/>
                <w:color w:val="auto"/>
              </w:rPr>
            </w:pPr>
            <w:r>
              <w:rPr>
                <w:rFonts w:ascii="Arial" w:cs="Arial" w:eastAsia="Arial" w:hAnsi="Arial"/>
                <w:sz w:val="18"/>
                <w:szCs w:val="18"/>
                <w:b w:val="1"/>
                <w:bCs w:val="1"/>
                <w:color w:val="auto"/>
              </w:rPr>
              <w:t>6,485</w:t>
            </w:r>
          </w:p>
        </w:tc>
        <w:tc>
          <w:tcPr>
            <w:tcW w:w="260" w:type="dxa"/>
            <w:vAlign w:val="bottom"/>
          </w:tcPr>
          <w:p>
            <w:pPr>
              <w:jc w:val="right"/>
              <w:ind w:right="10"/>
              <w:spacing w:after="0" w:line="204"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line="204" w:lineRule="exact"/>
              <w:rPr>
                <w:sz w:val="20"/>
                <w:szCs w:val="20"/>
                <w:color w:val="auto"/>
              </w:rPr>
            </w:pPr>
            <w:r>
              <w:rPr>
                <w:rFonts w:ascii="Arial" w:cs="Arial" w:eastAsia="Arial" w:hAnsi="Arial"/>
                <w:sz w:val="18"/>
                <w:szCs w:val="18"/>
                <w:b w:val="1"/>
                <w:bCs w:val="1"/>
                <w:color w:val="auto"/>
              </w:rPr>
              <w:t>3,372</w:t>
            </w:r>
          </w:p>
        </w:tc>
        <w:tc>
          <w:tcPr>
            <w:tcW w:w="280" w:type="dxa"/>
            <w:vAlign w:val="bottom"/>
          </w:tcPr>
          <w:p>
            <w:pPr>
              <w:jc w:val="right"/>
              <w:ind w:right="30"/>
              <w:spacing w:after="0" w:line="204"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0"/>
              <w:spacing w:after="0" w:line="204" w:lineRule="exact"/>
              <w:rPr>
                <w:sz w:val="20"/>
                <w:szCs w:val="20"/>
                <w:color w:val="auto"/>
              </w:rPr>
            </w:pPr>
            <w:r>
              <w:rPr>
                <w:rFonts w:ascii="Arial" w:cs="Arial" w:eastAsia="Arial" w:hAnsi="Arial"/>
                <w:sz w:val="18"/>
                <w:szCs w:val="18"/>
                <w:b w:val="1"/>
                <w:bCs w:val="1"/>
                <w:color w:val="auto"/>
              </w:rPr>
              <w:t>1,723</w:t>
            </w:r>
          </w:p>
        </w:tc>
        <w:tc>
          <w:tcPr>
            <w:tcW w:w="22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227"/>
        </w:trPr>
        <w:tc>
          <w:tcPr>
            <w:tcW w:w="6600" w:type="dxa"/>
            <w:vAlign w:val="bottom"/>
          </w:tcPr>
          <w:p>
            <w:pPr>
              <w:ind w:left="20"/>
              <w:spacing w:after="0"/>
              <w:rPr>
                <w:sz w:val="20"/>
                <w:szCs w:val="20"/>
                <w:color w:val="auto"/>
              </w:rPr>
            </w:pPr>
            <w:r>
              <w:rPr>
                <w:rFonts w:ascii="Arial" w:cs="Arial" w:eastAsia="Arial" w:hAnsi="Arial"/>
                <w:sz w:val="18"/>
                <w:szCs w:val="18"/>
                <w:color w:val="auto"/>
              </w:rPr>
              <w:t>Adjusted for specifed items: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Intangible asset amortzaton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(2,039)</w:t>
            </w: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Intangible asset impairment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(2,114)</w:t>
            </w: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tcPr>
          <w:p>
            <w:pPr>
              <w:ind w:left="140"/>
              <w:spacing w:after="0"/>
              <w:rPr>
                <w:sz w:val="20"/>
                <w:szCs w:val="20"/>
                <w:color w:val="auto"/>
              </w:rPr>
            </w:pPr>
            <w:r>
              <w:rPr>
                <w:rFonts w:ascii="Arial" w:cs="Arial" w:eastAsia="Arial" w:hAnsi="Arial"/>
                <w:sz w:val="18"/>
                <w:szCs w:val="18"/>
                <w:color w:val="auto"/>
              </w:rPr>
              <w:t>Acquisiton and integraton costs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Change in fair value of contngent consideraton</w:t>
            </w: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As adjusted (non-GAAP)</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2,301</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3,330</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3. The adjusted tax rate for the third quarter of 2023 was 15.7 percent, as detailed below:</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(dollars in millions)</w:t>
            </w:r>
          </w:p>
        </w:tc>
        <w:tc>
          <w:tcPr>
            <w:tcW w:w="12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 September 30, 2023</w:t>
            </w:r>
          </w:p>
        </w:tc>
        <w:tc>
          <w:tcPr>
            <w:tcW w:w="0" w:type="dxa"/>
            <w:vAlign w:val="bottom"/>
          </w:tcPr>
          <w:p>
            <w:pPr>
              <w:spacing w:after="0"/>
              <w:rPr>
                <w:sz w:val="1"/>
                <w:szCs w:val="1"/>
                <w:color w:val="auto"/>
              </w:rPr>
            </w:pPr>
          </w:p>
        </w:tc>
      </w:tr>
      <w:tr>
        <w:trPr>
          <w:trHeight w:val="227"/>
        </w:trPr>
        <w:tc>
          <w:tcPr>
            <w:tcW w:w="656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7"/>
              </w:rPr>
              <w:t>Pre-tax earnings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3"/>
              </w:rPr>
              <w:t>Income taxes</w:t>
            </w: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07"/>
        </w:trPr>
        <w:tc>
          <w:tcPr>
            <w:tcW w:w="656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1,953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rPr>
              <w:t>172</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8.8 %</w:t>
            </w:r>
          </w:p>
        </w:tc>
        <w:tc>
          <w:tcPr>
            <w:tcW w:w="0" w:type="dxa"/>
            <w:vAlign w:val="bottom"/>
          </w:tcPr>
          <w:p>
            <w:pPr>
              <w:spacing w:after="0"/>
              <w:rPr>
                <w:sz w:val="1"/>
                <w:szCs w:val="1"/>
                <w:color w:val="auto"/>
              </w:rPr>
            </w:pPr>
          </w:p>
        </w:tc>
      </w:tr>
      <w:tr>
        <w:trPr>
          <w:trHeight w:val="227"/>
        </w:trPr>
        <w:tc>
          <w:tcPr>
            <w:tcW w:w="6560" w:type="dxa"/>
            <w:vAlign w:val="bottom"/>
          </w:tcPr>
          <w:p>
            <w:pPr>
              <w:spacing w:after="0"/>
              <w:rPr>
                <w:sz w:val="20"/>
                <w:szCs w:val="20"/>
                <w:color w:val="auto"/>
              </w:rPr>
            </w:pPr>
            <w:r>
              <w:rPr>
                <w:rFonts w:ascii="Arial" w:cs="Arial" w:eastAsia="Arial" w:hAnsi="Arial"/>
                <w:sz w:val="18"/>
                <w:szCs w:val="18"/>
                <w:color w:val="auto"/>
              </w:rPr>
              <w:t>Specifed items</w:t>
            </w:r>
          </w:p>
        </w:tc>
        <w:tc>
          <w:tcPr>
            <w:tcW w:w="1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4,280</w:t>
            </w:r>
          </w:p>
        </w:tc>
        <w:tc>
          <w:tcPr>
            <w:tcW w:w="260" w:type="dxa"/>
            <w:vAlign w:val="bottom"/>
          </w:tcPr>
          <w:p>
            <w:pPr>
              <w:spacing w:after="0"/>
              <w:rPr>
                <w:sz w:val="19"/>
                <w:szCs w:val="19"/>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808</w:t>
            </w:r>
          </w:p>
        </w:tc>
        <w:tc>
          <w:tcPr>
            <w:tcW w:w="1400" w:type="dxa"/>
            <w:vAlign w:val="bottom"/>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2"/>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6,233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980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040"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AbbVie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Reconciliaton of GAAP Reported to Non-GAAP Adjusted Informaton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80" w:type="dxa"/>
            <w:vAlign w:val="bottom"/>
          </w:tcPr>
          <w:p>
            <w:pPr>
              <w:spacing w:after="0"/>
              <w:rPr>
                <w:sz w:val="20"/>
                <w:szCs w:val="20"/>
                <w:color w:val="auto"/>
              </w:rPr>
            </w:pPr>
            <w:r>
              <w:rPr>
                <w:rFonts w:ascii="Arial" w:cs="Arial" w:eastAsia="Arial" w:hAnsi="Arial"/>
                <w:sz w:val="18"/>
                <w:szCs w:val="18"/>
                <w:color w:val="auto"/>
              </w:rPr>
              <w:t>1.   Specifed items impacted results as follows: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6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 except per share data)</w:t>
            </w:r>
          </w:p>
        </w:tc>
        <w:tc>
          <w:tcPr>
            <w:tcW w:w="280" w:type="dxa"/>
            <w:vAlign w:val="bottom"/>
            <w:tcBorders>
              <w:bottom w:val="single" w:sz="8" w:color="auto"/>
            </w:tcBorders>
          </w:tcPr>
          <w:p>
            <w:pPr>
              <w:spacing w:after="0"/>
              <w:rPr>
                <w:sz w:val="23"/>
                <w:szCs w:val="23"/>
                <w:color w:val="auto"/>
              </w:rPr>
            </w:pPr>
          </w:p>
        </w:tc>
        <w:tc>
          <w:tcPr>
            <w:tcW w:w="4260" w:type="dxa"/>
            <w:vAlign w:val="bottom"/>
            <w:tcBorders>
              <w:bottom w:val="single" w:sz="8" w:color="auto"/>
            </w:tcBorders>
            <w:gridSpan w:val="5"/>
          </w:tcPr>
          <w:p>
            <w:pPr>
              <w:ind w:left="660"/>
              <w:spacing w:after="0"/>
              <w:rPr>
                <w:sz w:val="20"/>
                <w:szCs w:val="20"/>
                <w:color w:val="auto"/>
              </w:rPr>
            </w:pPr>
            <w:r>
              <w:rPr>
                <w:rFonts w:ascii="Arial" w:cs="Arial" w:eastAsia="Arial" w:hAnsi="Arial"/>
                <w:sz w:val="18"/>
                <w:szCs w:val="18"/>
                <w:b w:val="1"/>
                <w:bCs w:val="1"/>
                <w:color w:val="auto"/>
              </w:rPr>
              <w:t>Quarter Ended September 30, 2022</w:t>
            </w:r>
          </w:p>
        </w:tc>
        <w:tc>
          <w:tcPr>
            <w:tcW w:w="0" w:type="dxa"/>
            <w:vAlign w:val="bottom"/>
          </w:tcPr>
          <w:p>
            <w:pPr>
              <w:spacing w:after="0"/>
              <w:rPr>
                <w:sz w:val="1"/>
                <w:szCs w:val="1"/>
                <w:color w:val="auto"/>
              </w:rPr>
            </w:pPr>
          </w:p>
        </w:tc>
      </w:tr>
      <w:tr>
        <w:trPr>
          <w:trHeight w:val="227"/>
        </w:trPr>
        <w:tc>
          <w:tcPr>
            <w:tcW w:w="668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color w:val="auto"/>
                <w:w w:val="96"/>
              </w:rPr>
              <w:t>Diluted</w:t>
            </w:r>
          </w:p>
        </w:tc>
        <w:tc>
          <w:tcPr>
            <w:tcW w:w="0" w:type="dxa"/>
            <w:vAlign w:val="bottom"/>
          </w:tcPr>
          <w:p>
            <w:pPr>
              <w:spacing w:after="0"/>
              <w:rPr>
                <w:sz w:val="1"/>
                <w:szCs w:val="1"/>
                <w:color w:val="auto"/>
              </w:rPr>
            </w:pPr>
          </w:p>
        </w:tc>
      </w:tr>
      <w:tr>
        <w:trPr>
          <w:trHeight w:val="226"/>
        </w:trPr>
        <w:tc>
          <w:tcPr>
            <w:tcW w:w="6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Pre-tax</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line="225" w:lineRule="exact"/>
              <w:rPr>
                <w:sz w:val="20"/>
                <w:szCs w:val="20"/>
                <w:color w:val="auto"/>
              </w:rPr>
            </w:pPr>
            <w:r>
              <w:rPr>
                <w:rFonts w:ascii="Arial" w:cs="Arial" w:eastAsia="Arial" w:hAnsi="Arial"/>
                <w:sz w:val="18"/>
                <w:szCs w:val="18"/>
                <w:color w:val="auto"/>
              </w:rPr>
              <w:t>Afer-tax</w:t>
            </w:r>
            <w:r>
              <w:rPr>
                <w:rFonts w:ascii="Arial" w:cs="Arial" w:eastAsia="Arial" w:hAnsi="Arial"/>
                <w:sz w:val="23"/>
                <w:szCs w:val="23"/>
                <w:color w:val="auto"/>
                <w:vertAlign w:val="superscript"/>
              </w:rPr>
              <w:t>a</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72"/>
              </w:rPr>
              <w:t>EPS</w:t>
            </w:r>
          </w:p>
        </w:tc>
        <w:tc>
          <w:tcPr>
            <w:tcW w:w="0" w:type="dxa"/>
            <w:vAlign w:val="bottom"/>
          </w:tcPr>
          <w:p>
            <w:pPr>
              <w:spacing w:after="0"/>
              <w:rPr>
                <w:sz w:val="1"/>
                <w:szCs w:val="1"/>
                <w:color w:val="auto"/>
              </w:rPr>
            </w:pPr>
          </w:p>
        </w:tc>
      </w:tr>
      <w:tr>
        <w:trPr>
          <w:trHeight w:val="204"/>
        </w:trPr>
        <w:tc>
          <w:tcPr>
            <w:tcW w:w="668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As reported (GAAP)</w:t>
            </w:r>
          </w:p>
        </w:tc>
        <w:tc>
          <w:tcPr>
            <w:tcW w:w="280" w:type="dxa"/>
            <w:vAlign w:val="bottom"/>
          </w:tcPr>
          <w:p>
            <w:pPr>
              <w:jc w:val="right"/>
              <w:ind w:right="90"/>
              <w:spacing w:after="0" w:line="204" w:lineRule="exact"/>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30"/>
              <w:spacing w:after="0" w:line="204" w:lineRule="exact"/>
              <w:rPr>
                <w:sz w:val="20"/>
                <w:szCs w:val="20"/>
                <w:color w:val="auto"/>
              </w:rPr>
            </w:pPr>
            <w:r>
              <w:rPr>
                <w:rFonts w:ascii="Arial" w:cs="Arial" w:eastAsia="Arial" w:hAnsi="Arial"/>
                <w:sz w:val="18"/>
                <w:szCs w:val="18"/>
                <w:b w:val="1"/>
                <w:bCs w:val="1"/>
                <w:color w:val="auto"/>
              </w:rPr>
              <w:t>4,400</w:t>
            </w:r>
          </w:p>
        </w:tc>
        <w:tc>
          <w:tcPr>
            <w:tcW w:w="380" w:type="dxa"/>
            <w:vAlign w:val="bottom"/>
          </w:tcPr>
          <w:p>
            <w:pPr>
              <w:jc w:val="right"/>
              <w:ind w:right="130"/>
              <w:spacing w:after="0" w:line="204"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3,949</w:t>
            </w:r>
          </w:p>
        </w:tc>
        <w:tc>
          <w:tcPr>
            <w:tcW w:w="400" w:type="dxa"/>
            <w:vAlign w:val="bottom"/>
          </w:tcPr>
          <w:p>
            <w:pPr>
              <w:jc w:val="right"/>
              <w:ind w:right="90"/>
              <w:spacing w:after="0" w:line="204"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center"/>
              <w:ind w:left="590"/>
              <w:spacing w:after="0" w:line="204" w:lineRule="exact"/>
              <w:rPr>
                <w:sz w:val="20"/>
                <w:szCs w:val="20"/>
                <w:color w:val="auto"/>
              </w:rPr>
            </w:pPr>
            <w:r>
              <w:rPr>
                <w:rFonts w:ascii="Arial" w:cs="Arial" w:eastAsia="Arial" w:hAnsi="Arial"/>
                <w:sz w:val="18"/>
                <w:szCs w:val="18"/>
                <w:b w:val="1"/>
                <w:bCs w:val="1"/>
                <w:color w:val="auto"/>
                <w:w w:val="91"/>
              </w:rPr>
              <w:t>2.21</w:t>
            </w:r>
          </w:p>
        </w:tc>
        <w:tc>
          <w:tcPr>
            <w:tcW w:w="0" w:type="dxa"/>
            <w:vAlign w:val="bottom"/>
          </w:tcPr>
          <w:p>
            <w:pPr>
              <w:spacing w:after="0"/>
              <w:rPr>
                <w:sz w:val="1"/>
                <w:szCs w:val="1"/>
                <w:color w:val="auto"/>
              </w:rPr>
            </w:pPr>
          </w:p>
        </w:tc>
      </w:tr>
      <w:tr>
        <w:trPr>
          <w:trHeight w:val="227"/>
        </w:trPr>
        <w:tc>
          <w:tcPr>
            <w:tcW w:w="6680" w:type="dxa"/>
            <w:vAlign w:val="bottom"/>
          </w:tcPr>
          <w:p>
            <w:pPr>
              <w:ind w:left="20"/>
              <w:spacing w:after="0"/>
              <w:rPr>
                <w:sz w:val="20"/>
                <w:szCs w:val="20"/>
                <w:color w:val="auto"/>
              </w:rPr>
            </w:pPr>
            <w:r>
              <w:rPr>
                <w:rFonts w:ascii="Arial" w:cs="Arial" w:eastAsia="Arial" w:hAnsi="Arial"/>
                <w:sz w:val="18"/>
                <w:szCs w:val="18"/>
                <w:color w:val="auto"/>
              </w:rPr>
              <w:t>Adjusted for specifed items: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Intangible asset amortzaton</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1,673</w:t>
            </w:r>
          </w:p>
        </w:tc>
        <w:tc>
          <w:tcPr>
            <w:tcW w:w="400" w:type="dxa"/>
            <w:vAlign w:val="bottom"/>
          </w:tcPr>
          <w:p>
            <w:pPr>
              <w:spacing w:after="0"/>
              <w:rPr>
                <w:sz w:val="19"/>
                <w:szCs w:val="19"/>
                <w:color w:val="auto"/>
              </w:rPr>
            </w:pPr>
          </w:p>
        </w:tc>
        <w:tc>
          <w:tcPr>
            <w:tcW w:w="1160" w:type="dxa"/>
            <w:vAlign w:val="bottom"/>
          </w:tcPr>
          <w:p>
            <w:pPr>
              <w:jc w:val="center"/>
              <w:ind w:left="590"/>
              <w:spacing w:after="0"/>
              <w:rPr>
                <w:sz w:val="20"/>
                <w:szCs w:val="20"/>
                <w:color w:val="auto"/>
              </w:rPr>
            </w:pPr>
            <w:r>
              <w:rPr>
                <w:rFonts w:ascii="Arial" w:cs="Arial" w:eastAsia="Arial" w:hAnsi="Arial"/>
                <w:sz w:val="18"/>
                <w:szCs w:val="18"/>
                <w:color w:val="auto"/>
                <w:w w:val="91"/>
              </w:rPr>
              <w:t>0.94</w:t>
            </w: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Intangible asset impairment</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770</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w:t>
            </w:r>
          </w:p>
        </w:tc>
        <w:tc>
          <w:tcPr>
            <w:tcW w:w="400" w:type="dxa"/>
            <w:vAlign w:val="bottom"/>
          </w:tcPr>
          <w:p>
            <w:pPr>
              <w:spacing w:after="0"/>
              <w:rPr>
                <w:sz w:val="19"/>
                <w:szCs w:val="19"/>
                <w:color w:val="auto"/>
              </w:rPr>
            </w:pPr>
          </w:p>
        </w:tc>
        <w:tc>
          <w:tcPr>
            <w:tcW w:w="1160" w:type="dxa"/>
            <w:vAlign w:val="bottom"/>
          </w:tcPr>
          <w:p>
            <w:pPr>
              <w:jc w:val="center"/>
              <w:ind w:left="590"/>
              <w:spacing w:after="0"/>
              <w:rPr>
                <w:sz w:val="20"/>
                <w:szCs w:val="20"/>
                <w:color w:val="auto"/>
              </w:rPr>
            </w:pPr>
            <w:r>
              <w:rPr>
                <w:rFonts w:ascii="Arial" w:cs="Arial" w:eastAsia="Arial" w:hAnsi="Arial"/>
                <w:sz w:val="18"/>
                <w:szCs w:val="18"/>
                <w:color w:val="auto"/>
                <w:w w:val="91"/>
              </w:rPr>
              <w:t>0.34</w:t>
            </w: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Acquisiton and integraton costs</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w:t>
            </w:r>
          </w:p>
        </w:tc>
        <w:tc>
          <w:tcPr>
            <w:tcW w:w="400" w:type="dxa"/>
            <w:vAlign w:val="bottom"/>
          </w:tcPr>
          <w:p>
            <w:pPr>
              <w:spacing w:after="0"/>
              <w:rPr>
                <w:sz w:val="19"/>
                <w:szCs w:val="19"/>
                <w:color w:val="auto"/>
              </w:rPr>
            </w:pPr>
          </w:p>
        </w:tc>
        <w:tc>
          <w:tcPr>
            <w:tcW w:w="1160" w:type="dxa"/>
            <w:vAlign w:val="bottom"/>
          </w:tcPr>
          <w:p>
            <w:pPr>
              <w:jc w:val="center"/>
              <w:ind w:left="590"/>
              <w:spacing w:after="0"/>
              <w:rPr>
                <w:sz w:val="20"/>
                <w:szCs w:val="20"/>
                <w:color w:val="auto"/>
              </w:rPr>
            </w:pPr>
            <w:r>
              <w:rPr>
                <w:rFonts w:ascii="Arial" w:cs="Arial" w:eastAsia="Arial" w:hAnsi="Arial"/>
                <w:sz w:val="18"/>
                <w:szCs w:val="18"/>
                <w:color w:val="auto"/>
                <w:w w:val="91"/>
              </w:rPr>
              <w:t>0.20</w:t>
            </w:r>
          </w:p>
        </w:tc>
        <w:tc>
          <w:tcPr>
            <w:tcW w:w="0" w:type="dxa"/>
            <w:vAlign w:val="bottom"/>
          </w:tcPr>
          <w:p>
            <w:pPr>
              <w:spacing w:after="0"/>
              <w:rPr>
                <w:sz w:val="1"/>
                <w:szCs w:val="1"/>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Change in fair value of contngent consideraton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w:t>
            </w:r>
          </w:p>
        </w:tc>
        <w:tc>
          <w:tcPr>
            <w:tcW w:w="400" w:type="dxa"/>
            <w:vAlign w:val="bottom"/>
          </w:tcPr>
          <w:p>
            <w:pPr>
              <w:spacing w:after="0"/>
              <w:rPr>
                <w:sz w:val="19"/>
                <w:szCs w:val="19"/>
                <w:color w:val="auto"/>
              </w:rPr>
            </w:pPr>
          </w:p>
        </w:tc>
        <w:tc>
          <w:tcPr>
            <w:tcW w:w="1160" w:type="dxa"/>
            <w:vAlign w:val="bottom"/>
          </w:tcPr>
          <w:p>
            <w:pPr>
              <w:jc w:val="center"/>
              <w:ind w:left="570"/>
              <w:spacing w:after="0"/>
              <w:rPr>
                <w:sz w:val="20"/>
                <w:szCs w:val="20"/>
                <w:color w:val="auto"/>
              </w:rPr>
            </w:pPr>
            <w:r>
              <w:rPr>
                <w:rFonts w:ascii="Arial" w:cs="Arial" w:eastAsia="Arial" w:hAnsi="Arial"/>
                <w:sz w:val="18"/>
                <w:szCs w:val="18"/>
                <w:color w:val="auto"/>
                <w:w w:val="89"/>
              </w:rPr>
              <w:t>(0.12)</w:t>
            </w: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Litgaton maters</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400" w:type="dxa"/>
            <w:vAlign w:val="bottom"/>
          </w:tcPr>
          <w:p>
            <w:pPr>
              <w:spacing w:after="0"/>
              <w:rPr>
                <w:sz w:val="19"/>
                <w:szCs w:val="19"/>
                <w:color w:val="auto"/>
              </w:rPr>
            </w:pPr>
          </w:p>
        </w:tc>
        <w:tc>
          <w:tcPr>
            <w:tcW w:w="1160" w:type="dxa"/>
            <w:vAlign w:val="bottom"/>
          </w:tcPr>
          <w:p>
            <w:pPr>
              <w:jc w:val="center"/>
              <w:ind w:left="590"/>
              <w:spacing w:after="0"/>
              <w:rPr>
                <w:sz w:val="20"/>
                <w:szCs w:val="20"/>
                <w:color w:val="auto"/>
              </w:rPr>
            </w:pPr>
            <w:r>
              <w:rPr>
                <w:rFonts w:ascii="Arial" w:cs="Arial" w:eastAsia="Arial" w:hAnsi="Arial"/>
                <w:sz w:val="18"/>
                <w:szCs w:val="18"/>
                <w:color w:val="auto"/>
                <w:w w:val="91"/>
              </w:rPr>
              <w:t>0.05</w:t>
            </w: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9"/>
                <w:szCs w:val="19"/>
                <w:color w:val="auto"/>
              </w:rPr>
            </w:pPr>
          </w:p>
        </w:tc>
        <w:tc>
          <w:tcPr>
            <w:tcW w:w="1160" w:type="dxa"/>
            <w:vAlign w:val="bottom"/>
          </w:tcPr>
          <w:p>
            <w:pPr>
              <w:jc w:val="center"/>
              <w:ind w:left="590"/>
              <w:spacing w:after="0"/>
              <w:rPr>
                <w:sz w:val="20"/>
                <w:szCs w:val="20"/>
                <w:color w:val="auto"/>
              </w:rPr>
            </w:pPr>
            <w:r>
              <w:rPr>
                <w:rFonts w:ascii="Arial" w:cs="Arial" w:eastAsia="Arial" w:hAnsi="Arial"/>
                <w:sz w:val="18"/>
                <w:szCs w:val="18"/>
                <w:color w:val="auto"/>
                <w:w w:val="91"/>
              </w:rPr>
              <w:t>0.04</w:t>
            </w:r>
          </w:p>
        </w:tc>
        <w:tc>
          <w:tcPr>
            <w:tcW w:w="0" w:type="dxa"/>
            <w:vAlign w:val="bottom"/>
          </w:tcPr>
          <w:p>
            <w:pPr>
              <w:spacing w:after="0"/>
              <w:rPr>
                <w:sz w:val="1"/>
                <w:szCs w:val="1"/>
                <w:color w:val="auto"/>
              </w:rPr>
            </w:pPr>
          </w:p>
        </w:tc>
      </w:tr>
      <w:tr>
        <w:trPr>
          <w:trHeight w:val="22"/>
        </w:trPr>
        <w:tc>
          <w:tcPr>
            <w:tcW w:w="6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adjusted (non-GAAP)</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7,496</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6,528</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b w:val="1"/>
                <w:bCs w:val="1"/>
                <w:color w:val="auto"/>
                <w:w w:val="91"/>
              </w:rPr>
              <w:t>3.66</w:t>
            </w:r>
          </w:p>
        </w:tc>
        <w:tc>
          <w:tcPr>
            <w:tcW w:w="0" w:type="dxa"/>
            <w:vAlign w:val="bottom"/>
          </w:tcPr>
          <w:p>
            <w:pPr>
              <w:spacing w:after="0"/>
              <w:rPr>
                <w:sz w:val="1"/>
                <w:szCs w:val="1"/>
                <w:color w:val="auto"/>
              </w:rPr>
            </w:pPr>
          </w:p>
        </w:tc>
      </w:tr>
      <w:tr>
        <w:trPr>
          <w:trHeight w:val="21"/>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Represents net earnings atributable to AbbVie Inc.</w:t>
      </w:r>
    </w:p>
    <w:p>
      <w:pPr>
        <w:spacing w:after="0" w:line="175" w:lineRule="exact"/>
        <w:rPr>
          <w:sz w:val="20"/>
          <w:szCs w:val="20"/>
          <w:color w:val="auto"/>
        </w:rPr>
      </w:pPr>
    </w:p>
    <w:p>
      <w:pPr>
        <w:ind w:right="440"/>
        <w:spacing w:after="0" w:line="273" w:lineRule="auto"/>
        <w:rPr>
          <w:sz w:val="20"/>
          <w:szCs w:val="20"/>
          <w:color w:val="auto"/>
        </w:rPr>
      </w:pPr>
      <w:r>
        <w:rPr>
          <w:rFonts w:ascii="Arial" w:cs="Arial" w:eastAsia="Arial" w:hAnsi="Arial"/>
          <w:sz w:val="18"/>
          <w:szCs w:val="18"/>
          <w:color w:val="auto"/>
        </w:rPr>
        <w:t>Acquisiton and integraton costs primarily refect integraton costs related to the Allergan acquisiton. Other primarily includes restructuring charges associated with streamlining global operatons.</w:t>
      </w:r>
    </w:p>
    <w:p>
      <w:pPr>
        <w:spacing w:after="0" w:line="123" w:lineRule="exact"/>
        <w:rPr>
          <w:sz w:val="20"/>
          <w:szCs w:val="20"/>
          <w:color w:val="auto"/>
        </w:rPr>
      </w:pPr>
    </w:p>
    <w:p>
      <w:pPr>
        <w:ind w:right="400"/>
        <w:spacing w:after="0" w:line="320" w:lineRule="auto"/>
        <w:rPr>
          <w:sz w:val="20"/>
          <w:szCs w:val="20"/>
          <w:color w:val="auto"/>
        </w:rPr>
      </w:pPr>
      <w:r>
        <w:rPr>
          <w:rFonts w:ascii="Arial" w:cs="Arial" w:eastAsia="Arial" w:hAnsi="Arial"/>
          <w:sz w:val="16"/>
          <w:szCs w:val="16"/>
          <w:color w:val="auto"/>
        </w:rPr>
        <w:t>Reported GAAP earnings and adjusted non-GAAP earnings for the three months ended September 30, 2022 included acquired IPR&amp;D and milestones expense of $40 million on a pre-tax and afer-tax basis, representng an unfavorable impact of $0.02 to both diluted EPS and adjusted diluted EPS.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20" w:type="dxa"/>
            <w:vAlign w:val="bottom"/>
          </w:tcPr>
          <w:p>
            <w:pPr>
              <w:spacing w:after="0"/>
              <w:rPr>
                <w:sz w:val="20"/>
                <w:szCs w:val="20"/>
                <w:color w:val="auto"/>
              </w:rPr>
            </w:pPr>
            <w:r>
              <w:rPr>
                <w:rFonts w:ascii="Arial" w:cs="Arial" w:eastAsia="Arial" w:hAnsi="Arial"/>
                <w:sz w:val="18"/>
                <w:szCs w:val="18"/>
                <w:color w:val="auto"/>
              </w:rPr>
              <w:t>2. The impact of the specifed items by line item was as follows: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5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Quarter Ended September 30, 2022</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center"/>
              <w:ind w:right="90"/>
              <w:spacing w:after="0"/>
              <w:rPr>
                <w:sz w:val="20"/>
                <w:szCs w:val="20"/>
                <w:color w:val="auto"/>
              </w:rPr>
            </w:pPr>
            <w:r>
              <w:rPr>
                <w:rFonts w:ascii="Arial" w:cs="Arial" w:eastAsia="Arial" w:hAnsi="Arial"/>
                <w:sz w:val="18"/>
                <w:szCs w:val="18"/>
                <w:color w:val="auto"/>
                <w:w w:val="91"/>
              </w:rPr>
              <w:t>Cost of</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130"/>
              <w:spacing w:after="0" w:line="162" w:lineRule="exact"/>
              <w:rPr>
                <w:sz w:val="20"/>
                <w:szCs w:val="20"/>
                <w:color w:val="auto"/>
              </w:rPr>
            </w:pPr>
            <w:r>
              <w:rPr>
                <w:rFonts w:ascii="Arial" w:cs="Arial" w:eastAsia="Arial" w:hAnsi="Arial"/>
                <w:sz w:val="18"/>
                <w:szCs w:val="18"/>
                <w:color w:val="auto"/>
                <w:w w:val="93"/>
              </w:rPr>
              <w:t>Other</w:t>
            </w:r>
          </w:p>
        </w:tc>
        <w:tc>
          <w:tcPr>
            <w:tcW w:w="200" w:type="dxa"/>
            <w:vAlign w:val="bottom"/>
          </w:tcPr>
          <w:p>
            <w:pPr>
              <w:spacing w:after="0"/>
              <w:rPr>
                <w:sz w:val="14"/>
                <w:szCs w:val="14"/>
                <w:color w:val="auto"/>
              </w:rPr>
            </w:pPr>
          </w:p>
        </w:tc>
        <w:tc>
          <w:tcPr>
            <w:tcW w:w="860" w:type="dxa"/>
            <w:vAlign w:val="bottom"/>
          </w:tcPr>
          <w:p>
            <w:pPr>
              <w:jc w:val="center"/>
              <w:ind w:right="50"/>
              <w:spacing w:after="0" w:line="162" w:lineRule="exact"/>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8"/>
              </w:rPr>
              <w:t>operatng</w:t>
            </w:r>
          </w:p>
        </w:tc>
        <w:tc>
          <w:tcPr>
            <w:tcW w:w="200" w:type="dxa"/>
            <w:vAlign w:val="bottom"/>
          </w:tcPr>
          <w:p>
            <w:pPr>
              <w:spacing w:after="0"/>
              <w:rPr>
                <w:sz w:val="15"/>
                <w:szCs w:val="15"/>
                <w:color w:val="auto"/>
              </w:rPr>
            </w:pPr>
          </w:p>
        </w:tc>
        <w:tc>
          <w:tcPr>
            <w:tcW w:w="8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8"/>
              </w:rPr>
              <w:t>expense</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92"/>
              </w:rPr>
              <w:t>products</w:t>
            </w:r>
          </w:p>
        </w:tc>
        <w:tc>
          <w:tcPr>
            <w:tcW w:w="260" w:type="dxa"/>
            <w:vAlign w:val="bottom"/>
          </w:tcPr>
          <w:p>
            <w:pPr>
              <w:spacing w:after="0"/>
              <w:rPr>
                <w:sz w:val="16"/>
                <w:szCs w:val="16"/>
                <w:color w:val="auto"/>
              </w:rPr>
            </w:pPr>
          </w:p>
        </w:tc>
        <w:tc>
          <w:tcPr>
            <w:tcW w:w="840" w:type="dxa"/>
            <w:vAlign w:val="bottom"/>
            <w:vMerge w:val="restart"/>
          </w:tcPr>
          <w:p>
            <w:pPr>
              <w:ind w:left="80"/>
              <w:spacing w:after="0"/>
              <w:rPr>
                <w:sz w:val="20"/>
                <w:szCs w:val="20"/>
                <w:color w:val="auto"/>
              </w:rPr>
            </w:pPr>
            <w:r>
              <w:rPr>
                <w:rFonts w:ascii="Arial" w:cs="Arial" w:eastAsia="Arial" w:hAnsi="Arial"/>
                <w:sz w:val="18"/>
                <w:szCs w:val="18"/>
                <w:color w:val="auto"/>
              </w:rPr>
              <w:t>SG&amp;A</w:t>
            </w:r>
          </w:p>
        </w:tc>
        <w:tc>
          <w:tcPr>
            <w:tcW w:w="280" w:type="dxa"/>
            <w:vAlign w:val="bottom"/>
          </w:tcPr>
          <w:p>
            <w:pPr>
              <w:spacing w:after="0"/>
              <w:rPr>
                <w:sz w:val="16"/>
                <w:szCs w:val="16"/>
                <w:color w:val="auto"/>
              </w:rPr>
            </w:pPr>
          </w:p>
        </w:tc>
        <w:tc>
          <w:tcPr>
            <w:tcW w:w="820" w:type="dxa"/>
            <w:vAlign w:val="bottom"/>
            <w:vMerge w:val="restart"/>
          </w:tcPr>
          <w:p>
            <w:pPr>
              <w:jc w:val="right"/>
              <w:ind w:right="290"/>
              <w:spacing w:after="0"/>
              <w:rPr>
                <w:sz w:val="20"/>
                <w:szCs w:val="20"/>
                <w:color w:val="auto"/>
              </w:rPr>
            </w:pPr>
            <w:r>
              <w:rPr>
                <w:rFonts w:ascii="Arial" w:cs="Arial" w:eastAsia="Arial" w:hAnsi="Arial"/>
                <w:sz w:val="18"/>
                <w:szCs w:val="18"/>
                <w:color w:val="auto"/>
              </w:rPr>
              <w:t>R&amp;D</w:t>
            </w:r>
          </w:p>
        </w:tc>
        <w:tc>
          <w:tcPr>
            <w:tcW w:w="220" w:type="dxa"/>
            <w:vAlign w:val="bottom"/>
          </w:tcPr>
          <w:p>
            <w:pPr>
              <w:spacing w:after="0"/>
              <w:rPr>
                <w:sz w:val="16"/>
                <w:szCs w:val="16"/>
                <w:color w:val="auto"/>
              </w:rPr>
            </w:pPr>
          </w:p>
        </w:tc>
        <w:tc>
          <w:tcPr>
            <w:tcW w:w="1000" w:type="dxa"/>
            <w:vAlign w:val="bottom"/>
          </w:tcPr>
          <w:p>
            <w:pPr>
              <w:jc w:val="center"/>
              <w:ind w:right="110"/>
              <w:spacing w:after="0" w:line="189" w:lineRule="exact"/>
              <w:rPr>
                <w:sz w:val="20"/>
                <w:szCs w:val="20"/>
                <w:color w:val="auto"/>
              </w:rPr>
            </w:pPr>
            <w:r>
              <w:rPr>
                <w:rFonts w:ascii="Arial" w:cs="Arial" w:eastAsia="Arial" w:hAnsi="Arial"/>
                <w:sz w:val="18"/>
                <w:szCs w:val="18"/>
                <w:color w:val="auto"/>
                <w:w w:val="88"/>
              </w:rPr>
              <w:t>expense</w:t>
            </w:r>
          </w:p>
        </w:tc>
        <w:tc>
          <w:tcPr>
            <w:tcW w:w="200" w:type="dxa"/>
            <w:vAlign w:val="bottom"/>
          </w:tcPr>
          <w:p>
            <w:pPr>
              <w:spacing w:after="0"/>
              <w:rPr>
                <w:sz w:val="16"/>
                <w:szCs w:val="16"/>
                <w:color w:val="auto"/>
              </w:rPr>
            </w:pPr>
          </w:p>
        </w:tc>
        <w:tc>
          <w:tcPr>
            <w:tcW w:w="86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0"/>
              </w:rPr>
              <w:t>(income),</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sold</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(income), net</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net</w:t>
            </w:r>
          </w:p>
        </w:tc>
        <w:tc>
          <w:tcPr>
            <w:tcW w:w="0" w:type="dxa"/>
            <w:vAlign w:val="bottom"/>
          </w:tcPr>
          <w:p>
            <w:pPr>
              <w:spacing w:after="0"/>
              <w:rPr>
                <w:sz w:val="1"/>
                <w:szCs w:val="1"/>
                <w:color w:val="auto"/>
              </w:rPr>
            </w:pPr>
          </w:p>
        </w:tc>
      </w:tr>
      <w:tr>
        <w:trPr>
          <w:trHeight w:val="211"/>
        </w:trPr>
        <w:tc>
          <w:tcPr>
            <w:tcW w:w="562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As reported (GAAP)</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5,022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3,304</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1,614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229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0" w:type="dxa"/>
            <w:vAlign w:val="bottom"/>
          </w:tcPr>
          <w:p>
            <w:pPr>
              <w:spacing w:after="0"/>
              <w:rPr>
                <w:sz w:val="1"/>
                <w:szCs w:val="1"/>
                <w:color w:val="auto"/>
              </w:rPr>
            </w:pPr>
          </w:p>
        </w:tc>
      </w:tr>
      <w:tr>
        <w:trPr>
          <w:trHeight w:val="227"/>
        </w:trPr>
        <w:tc>
          <w:tcPr>
            <w:tcW w:w="5620" w:type="dxa"/>
            <w:vAlign w:val="bottom"/>
          </w:tcPr>
          <w:p>
            <w:pPr>
              <w:ind w:left="20"/>
              <w:spacing w:after="0"/>
              <w:rPr>
                <w:sz w:val="20"/>
                <w:szCs w:val="20"/>
                <w:color w:val="auto"/>
              </w:rPr>
            </w:pPr>
            <w:r>
              <w:rPr>
                <w:rFonts w:ascii="Arial" w:cs="Arial" w:eastAsia="Arial" w:hAnsi="Arial"/>
                <w:sz w:val="18"/>
                <w:szCs w:val="18"/>
                <w:color w:val="auto"/>
              </w:rPr>
              <w:t>Adjusted for specifed items: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Intangible asset amortzaton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Intangible asset impairment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(770)</w:t>
            </w:r>
          </w:p>
        </w:tc>
        <w:tc>
          <w:tcPr>
            <w:tcW w:w="2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Acquisiton and integraton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Change in fair value of contngent consideraton</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Litgaton maters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
        </w:trPr>
        <w:tc>
          <w:tcPr>
            <w:tcW w:w="5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adjusted (non-GAAP)</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2,167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3,089</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 The adjusted tax rate for the third quarter of 2022 was 12.9 percent, as detailed below:</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(dollars in millions)</w:t>
            </w:r>
          </w:p>
        </w:tc>
        <w:tc>
          <w:tcPr>
            <w:tcW w:w="12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 September 30, 2022</w:t>
            </w:r>
          </w:p>
        </w:tc>
        <w:tc>
          <w:tcPr>
            <w:tcW w:w="0" w:type="dxa"/>
            <w:vAlign w:val="bottom"/>
          </w:tcPr>
          <w:p>
            <w:pPr>
              <w:spacing w:after="0"/>
              <w:rPr>
                <w:sz w:val="1"/>
                <w:szCs w:val="1"/>
                <w:color w:val="auto"/>
              </w:rPr>
            </w:pPr>
          </w:p>
        </w:tc>
      </w:tr>
      <w:tr>
        <w:trPr>
          <w:trHeight w:val="227"/>
        </w:trPr>
        <w:tc>
          <w:tcPr>
            <w:tcW w:w="656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7"/>
              </w:rPr>
              <w:t>Pre-tax earnings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3"/>
              </w:rPr>
              <w:t>Income taxes</w:t>
            </w: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07"/>
        </w:trPr>
        <w:tc>
          <w:tcPr>
            <w:tcW w:w="656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4,400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rPr>
              <w:t>448</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10.2 %</w:t>
            </w:r>
          </w:p>
        </w:tc>
        <w:tc>
          <w:tcPr>
            <w:tcW w:w="0" w:type="dxa"/>
            <w:vAlign w:val="bottom"/>
          </w:tcPr>
          <w:p>
            <w:pPr>
              <w:spacing w:after="0"/>
              <w:rPr>
                <w:sz w:val="1"/>
                <w:szCs w:val="1"/>
                <w:color w:val="auto"/>
              </w:rPr>
            </w:pPr>
          </w:p>
        </w:tc>
      </w:tr>
      <w:tr>
        <w:trPr>
          <w:trHeight w:val="227"/>
        </w:trPr>
        <w:tc>
          <w:tcPr>
            <w:tcW w:w="6560" w:type="dxa"/>
            <w:vAlign w:val="bottom"/>
          </w:tcPr>
          <w:p>
            <w:pPr>
              <w:spacing w:after="0"/>
              <w:rPr>
                <w:sz w:val="20"/>
                <w:szCs w:val="20"/>
                <w:color w:val="auto"/>
              </w:rPr>
            </w:pPr>
            <w:r>
              <w:rPr>
                <w:rFonts w:ascii="Arial" w:cs="Arial" w:eastAsia="Arial" w:hAnsi="Arial"/>
                <w:sz w:val="18"/>
                <w:szCs w:val="18"/>
                <w:color w:val="auto"/>
              </w:rPr>
              <w:t>Specifed items</w:t>
            </w:r>
          </w:p>
        </w:tc>
        <w:tc>
          <w:tcPr>
            <w:tcW w:w="1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3,096</w:t>
            </w:r>
          </w:p>
        </w:tc>
        <w:tc>
          <w:tcPr>
            <w:tcW w:w="260" w:type="dxa"/>
            <w:vAlign w:val="bottom"/>
          </w:tcPr>
          <w:p>
            <w:pPr>
              <w:spacing w:after="0"/>
              <w:rPr>
                <w:sz w:val="19"/>
                <w:szCs w:val="19"/>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517</w:t>
            </w:r>
          </w:p>
        </w:tc>
        <w:tc>
          <w:tcPr>
            <w:tcW w:w="1400" w:type="dxa"/>
            <w:vAlign w:val="bottom"/>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2"/>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7,496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965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865"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2"/>
          <w:szCs w:val="22"/>
          <w:b w:val="1"/>
          <w:bCs w:val="1"/>
          <w:color w:val="auto"/>
        </w:rPr>
        <w:t>AbbVie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Reconciliaton of GAAP Reported to Non-GAAP Adjusted Informaton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240"/>
          </w:cols>
          <w:pgMar w:left="320" w:top="86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1. Specifed items impacted results as follows: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 except per share data)</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reported (GAAP)</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for specifed items: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amortzaton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impairment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Acquisiton and integraton costs</w:t>
      </w:r>
    </w:p>
    <w:p>
      <w:pPr>
        <w:spacing w:after="0" w:line="23" w:lineRule="exact"/>
        <w:rPr>
          <w:sz w:val="20"/>
          <w:szCs w:val="20"/>
          <w:color w:val="auto"/>
        </w:rPr>
      </w:pPr>
    </w:p>
    <w:p>
      <w:pPr>
        <w:ind w:left="140" w:right="2320"/>
        <w:spacing w:after="0" w:line="288" w:lineRule="auto"/>
        <w:rPr>
          <w:sz w:val="20"/>
          <w:szCs w:val="20"/>
          <w:color w:val="auto"/>
        </w:rPr>
      </w:pPr>
      <w:r>
        <w:rPr>
          <w:rFonts w:ascii="Arial" w:cs="Arial" w:eastAsia="Arial" w:hAnsi="Arial"/>
          <w:sz w:val="18"/>
          <w:szCs w:val="18"/>
          <w:color w:val="auto"/>
        </w:rPr>
        <w:t>Change in fair value of contngent consideraton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adjusted (non-GAAP)</w:t>
      </w:r>
    </w:p>
    <w:p>
      <w:pPr>
        <w:spacing w:after="0" w:line="77"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Represents net earnings atributable to AbbVie Inc.</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Nine Months Ended September 30, 2023</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Diluted</w:t>
            </w: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vMerge w:val="restart"/>
          </w:tcPr>
          <w:p>
            <w:pPr>
              <w:jc w:val="right"/>
              <w:ind w:right="510"/>
              <w:spacing w:after="0"/>
              <w:rPr>
                <w:sz w:val="20"/>
                <w:szCs w:val="20"/>
                <w:color w:val="auto"/>
              </w:rPr>
            </w:pPr>
            <w:r>
              <w:rPr>
                <w:rFonts w:ascii="Arial" w:cs="Arial" w:eastAsia="Arial" w:hAnsi="Arial"/>
                <w:sz w:val="18"/>
                <w:szCs w:val="18"/>
                <w:color w:val="auto"/>
              </w:rPr>
              <w:t>EPS</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Pre-tax</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line="223" w:lineRule="exact"/>
              <w:rPr>
                <w:sz w:val="20"/>
                <w:szCs w:val="20"/>
                <w:color w:val="auto"/>
              </w:rPr>
            </w:pPr>
            <w:r>
              <w:rPr>
                <w:rFonts w:ascii="Arial" w:cs="Arial" w:eastAsia="Arial" w:hAnsi="Arial"/>
                <w:sz w:val="18"/>
                <w:szCs w:val="18"/>
                <w:color w:val="auto"/>
              </w:rPr>
              <w:t>Afer-tax</w:t>
            </w:r>
            <w:r>
              <w:rPr>
                <w:rFonts w:ascii="Arial" w:cs="Arial" w:eastAsia="Arial" w:hAnsi="Arial"/>
                <w:sz w:val="23"/>
                <w:szCs w:val="23"/>
                <w:color w:val="auto"/>
                <w:vertAlign w:val="superscript"/>
              </w:rPr>
              <w:t>a</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5,038</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4,041</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436"/>
        </w:trPr>
        <w:tc>
          <w:tcPr>
            <w:tcW w:w="28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6,057</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5,101</w:t>
            </w: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2,824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2,289</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3,432</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3,348</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17,464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14,810</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8.32</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-1525270</wp:posOffset>
            </wp:positionV>
            <wp:extent cx="28892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9250" cy="8890"/>
                    </a:xfrm>
                    <a:prstGeom prst="rect">
                      <a:avLst/>
                    </a:prstGeom>
                    <a:noFill/>
                  </pic:spPr>
                </pic:pic>
              </a:graphicData>
            </a:graphic>
          </wp:anchor>
        </w:drawing>
      </w:r>
    </w:p>
    <w:p>
      <w:pPr>
        <w:spacing w:after="0" w:line="399" w:lineRule="exact"/>
        <w:rPr>
          <w:sz w:val="20"/>
          <w:szCs w:val="20"/>
          <w:color w:val="auto"/>
        </w:rPr>
      </w:pPr>
    </w:p>
    <w:p>
      <w:pPr>
        <w:sectPr>
          <w:pgSz w:w="11900" w:h="16838" w:orient="portrait"/>
          <w:cols w:equalWidth="0" w:num="2">
            <w:col w:w="5940" w:space="720"/>
            <w:col w:w="4580"/>
          </w:cols>
          <w:pgMar w:left="320" w:top="865" w:right="339" w:bottom="1440" w:gutter="0" w:footer="0" w:header="0"/>
          <w:type w:val="continuous"/>
        </w:sectPr>
      </w:pPr>
    </w:p>
    <w:p>
      <w:pPr>
        <w:ind w:right="80"/>
        <w:spacing w:after="0" w:line="256" w:lineRule="auto"/>
        <w:rPr>
          <w:sz w:val="20"/>
          <w:szCs w:val="20"/>
          <w:color w:val="auto"/>
        </w:rPr>
      </w:pPr>
      <w:r>
        <w:rPr>
          <w:rFonts w:ascii="Arial" w:cs="Arial" w:eastAsia="Arial" w:hAnsi="Arial"/>
          <w:sz w:val="18"/>
          <w:szCs w:val="18"/>
          <w:color w:val="auto"/>
        </w:rPr>
        <w:t>Acquisiton and integraton costs primarily refect integraton costs related to the Allergan acquisiton, including a one-tme gain of $169 million related to the terminaton of a development liability associated with a previously divested product. Intangible asset impairment primarily refects a partal impairment charge of $2.1 billion related to the U.S. Imbruvica intangible asset acquired as part of the 2015 acquisiton of Pharmacyclics, Inc. The intangible asset impairment was triggered by selecton of Imbruvica for price negotaton as part of the IRA of 2022, which contributed to a signifcant decrease in the estmated future cash fows for the product.</w:t>
      </w:r>
    </w:p>
    <w:p>
      <w:pPr>
        <w:spacing w:after="0" w:line="16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Reported GAAP earnings and adjusted non-GAAP earnings for the nine months ended September 30, 2023 included acquired IPR&amp;D and milestones expense of $496 million on a pre-tax and $477 million on an afer-tax basis, representng an unfavorable impact of $0.27 to both diluted EPS and adjusted diluted EPS.</w:t>
      </w:r>
    </w:p>
    <w:p>
      <w:pPr>
        <w:sectPr>
          <w:pgSz w:w="11900" w:h="16838" w:orient="portrait"/>
          <w:cols w:equalWidth="0" w:num="1">
            <w:col w:w="11240"/>
          </w:cols>
          <w:pgMar w:left="320" w:top="865" w:right="33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2. The impact of the specifed items by line item was as follows:</w:t>
      </w:r>
    </w:p>
    <w:p>
      <w:pPr>
        <w:spacing w:after="0" w:line="3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reported (GAAP)</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for specifed items: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amortzaton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impairment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Acquisiton and integraton costs</w:t>
      </w:r>
    </w:p>
    <w:p>
      <w:pPr>
        <w:spacing w:after="0" w:line="23" w:lineRule="exact"/>
        <w:rPr>
          <w:sz w:val="20"/>
          <w:szCs w:val="20"/>
          <w:color w:val="auto"/>
        </w:rPr>
      </w:pPr>
    </w:p>
    <w:p>
      <w:pPr>
        <w:ind w:left="140" w:right="1040"/>
        <w:spacing w:after="0" w:line="288" w:lineRule="auto"/>
        <w:rPr>
          <w:sz w:val="20"/>
          <w:szCs w:val="20"/>
          <w:color w:val="auto"/>
        </w:rPr>
      </w:pPr>
      <w:r>
        <w:rPr>
          <w:rFonts w:ascii="Arial" w:cs="Arial" w:eastAsia="Arial" w:hAnsi="Arial"/>
          <w:sz w:val="18"/>
          <w:szCs w:val="18"/>
          <w:color w:val="auto"/>
        </w:rPr>
        <w:t>Change in fair value of contngent consideraton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adjusted (non-GAAP)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Nine Months Ended September 30,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97"/>
              </w:rPr>
              <w:t>Other</w:t>
            </w:r>
          </w:p>
        </w:tc>
        <w:tc>
          <w:tcPr>
            <w:tcW w:w="240" w:type="dxa"/>
            <w:vAlign w:val="bottom"/>
          </w:tcPr>
          <w:p>
            <w:pPr>
              <w:spacing w:after="0"/>
              <w:rPr>
                <w:sz w:val="18"/>
                <w:szCs w:val="18"/>
                <w:color w:val="auto"/>
              </w:rPr>
            </w:pPr>
          </w:p>
        </w:tc>
        <w:tc>
          <w:tcPr>
            <w:tcW w:w="900" w:type="dxa"/>
            <w:vAlign w:val="bottom"/>
            <w:vMerge w:val="restart"/>
          </w:tcPr>
          <w:p>
            <w:pPr>
              <w:jc w:val="center"/>
              <w:ind w:right="70"/>
              <w:spacing w:after="0"/>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940" w:type="dxa"/>
            <w:vAlign w:val="bottom"/>
            <w:vMerge w:val="restart"/>
          </w:tcPr>
          <w:p>
            <w:pPr>
              <w:jc w:val="right"/>
              <w:ind w:right="250"/>
              <w:spacing w:after="0"/>
              <w:rPr>
                <w:sz w:val="20"/>
                <w:szCs w:val="20"/>
                <w:color w:val="auto"/>
              </w:rPr>
            </w:pPr>
            <w:r>
              <w:rPr>
                <w:rFonts w:ascii="Arial" w:cs="Arial" w:eastAsia="Arial" w:hAnsi="Arial"/>
                <w:sz w:val="18"/>
                <w:szCs w:val="18"/>
                <w:color w:val="auto"/>
              </w:rPr>
              <w:t>Cost of</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8"/>
              </w:rPr>
              <w:t>operatng</w:t>
            </w: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8"/>
              </w:rPr>
              <w:t>expense</w:t>
            </w:r>
          </w:p>
        </w:tc>
        <w:tc>
          <w:tcPr>
            <w:tcW w:w="240" w:type="dxa"/>
            <w:vAlign w:val="bottom"/>
          </w:tcPr>
          <w:p>
            <w:pPr>
              <w:spacing w:after="0"/>
              <w:rPr>
                <w:sz w:val="15"/>
                <w:szCs w:val="15"/>
                <w:color w:val="auto"/>
              </w:rPr>
            </w:pPr>
          </w:p>
        </w:tc>
        <w:tc>
          <w:tcPr>
            <w:tcW w:w="9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8"/>
              </w:rPr>
              <w:t>expense</w:t>
            </w:r>
          </w:p>
        </w:tc>
        <w:tc>
          <w:tcPr>
            <w:tcW w:w="0" w:type="dxa"/>
            <w:vAlign w:val="bottom"/>
          </w:tcPr>
          <w:p>
            <w:pPr>
              <w:spacing w:after="0"/>
              <w:rPr>
                <w:sz w:val="1"/>
                <w:szCs w:val="1"/>
                <w:color w:val="auto"/>
              </w:rPr>
            </w:pPr>
          </w:p>
        </w:tc>
      </w:tr>
      <w:tr>
        <w:trPr>
          <w:trHeight w:val="235"/>
        </w:trPr>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products sold</w:t>
            </w:r>
          </w:p>
        </w:tc>
        <w:tc>
          <w:tcPr>
            <w:tcW w:w="26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SG&amp;A</w:t>
            </w:r>
          </w:p>
        </w:tc>
        <w:tc>
          <w:tcPr>
            <w:tcW w:w="30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R&amp;D</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3"/>
              </w:rPr>
              <w:t>(income), net</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3"/>
              </w:rPr>
              <w:t>(income), net</w:t>
            </w:r>
          </w:p>
        </w:tc>
        <w:tc>
          <w:tcPr>
            <w:tcW w:w="0" w:type="dxa"/>
            <w:vAlign w:val="bottom"/>
          </w:tcPr>
          <w:p>
            <w:pPr>
              <w:spacing w:after="0"/>
              <w:rPr>
                <w:sz w:val="1"/>
                <w:szCs w:val="1"/>
                <w:color w:val="auto"/>
              </w:rPr>
            </w:pPr>
          </w:p>
        </w:tc>
      </w:tr>
      <w:tr>
        <w:trPr>
          <w:trHeight w:val="22"/>
        </w:trPr>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14,711</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9,679</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5,748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3,121</w:t>
            </w:r>
          </w:p>
        </w:tc>
        <w:tc>
          <w:tcPr>
            <w:tcW w:w="0" w:type="dxa"/>
            <w:vAlign w:val="bottom"/>
          </w:tcPr>
          <w:p>
            <w:pPr>
              <w:spacing w:after="0"/>
              <w:rPr>
                <w:sz w:val="1"/>
                <w:szCs w:val="1"/>
                <w:color w:val="auto"/>
              </w:rPr>
            </w:pPr>
          </w:p>
        </w:tc>
      </w:tr>
      <w:tr>
        <w:trPr>
          <w:trHeight w:val="436"/>
        </w:trPr>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(6,057)</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(2,194)</w:t>
            </w: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w:t>
            </w: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
        </w:trPr>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6,349</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9,532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-1713865</wp:posOffset>
            </wp:positionV>
            <wp:extent cx="3686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4660" w:space="720"/>
            <w:col w:w="5860"/>
          </w:cols>
          <w:pgMar w:left="320" w:top="865" w:right="339" w:bottom="1440" w:gutter="0" w:footer="0" w:header="0"/>
          <w:type w:val="continuous"/>
        </w:sectPr>
      </w:pPr>
    </w:p>
    <w:p>
      <w:pPr>
        <w:spacing w:after="0"/>
        <w:rPr>
          <w:sz w:val="20"/>
          <w:szCs w:val="20"/>
          <w:color w:val="auto"/>
        </w:rPr>
      </w:pPr>
      <w:r>
        <w:rPr>
          <w:rFonts w:ascii="Arial" w:cs="Arial" w:eastAsia="Arial" w:hAnsi="Arial"/>
          <w:sz w:val="18"/>
          <w:szCs w:val="18"/>
          <w:color w:val="auto"/>
        </w:rPr>
        <w:t>3. The adjusted tax rate for the frst nine months of 2023 was 15.2 percent, as detailed below:</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(dollars in millions)</w:t>
            </w:r>
          </w:p>
        </w:tc>
        <w:tc>
          <w:tcPr>
            <w:tcW w:w="12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 September 30, 2023</w:t>
            </w:r>
          </w:p>
        </w:tc>
        <w:tc>
          <w:tcPr>
            <w:tcW w:w="0" w:type="dxa"/>
            <w:vAlign w:val="bottom"/>
          </w:tcPr>
          <w:p>
            <w:pPr>
              <w:spacing w:after="0"/>
              <w:rPr>
                <w:sz w:val="1"/>
                <w:szCs w:val="1"/>
                <w:color w:val="auto"/>
              </w:rPr>
            </w:pPr>
          </w:p>
        </w:tc>
      </w:tr>
      <w:tr>
        <w:trPr>
          <w:trHeight w:val="227"/>
        </w:trPr>
        <w:tc>
          <w:tcPr>
            <w:tcW w:w="656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7"/>
              </w:rPr>
              <w:t>Pre-tax earnings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3"/>
              </w:rPr>
              <w:t>Income taxes</w:t>
            </w: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07"/>
        </w:trPr>
        <w:tc>
          <w:tcPr>
            <w:tcW w:w="656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5,038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rPr>
              <w:t>989</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19.6 %</w:t>
            </w:r>
          </w:p>
        </w:tc>
        <w:tc>
          <w:tcPr>
            <w:tcW w:w="0" w:type="dxa"/>
            <w:vAlign w:val="bottom"/>
          </w:tcPr>
          <w:p>
            <w:pPr>
              <w:spacing w:after="0"/>
              <w:rPr>
                <w:sz w:val="1"/>
                <w:szCs w:val="1"/>
                <w:color w:val="auto"/>
              </w:rPr>
            </w:pPr>
          </w:p>
        </w:tc>
      </w:tr>
      <w:tr>
        <w:trPr>
          <w:trHeight w:val="227"/>
        </w:trPr>
        <w:tc>
          <w:tcPr>
            <w:tcW w:w="6560" w:type="dxa"/>
            <w:vAlign w:val="bottom"/>
          </w:tcPr>
          <w:p>
            <w:pPr>
              <w:spacing w:after="0"/>
              <w:rPr>
                <w:sz w:val="20"/>
                <w:szCs w:val="20"/>
                <w:color w:val="auto"/>
              </w:rPr>
            </w:pPr>
            <w:r>
              <w:rPr>
                <w:rFonts w:ascii="Arial" w:cs="Arial" w:eastAsia="Arial" w:hAnsi="Arial"/>
                <w:sz w:val="18"/>
                <w:szCs w:val="18"/>
                <w:color w:val="auto"/>
              </w:rPr>
              <w:t>Specifed items</w:t>
            </w:r>
          </w:p>
        </w:tc>
        <w:tc>
          <w:tcPr>
            <w:tcW w:w="1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12,426</w:t>
            </w:r>
          </w:p>
        </w:tc>
        <w:tc>
          <w:tcPr>
            <w:tcW w:w="260" w:type="dxa"/>
            <w:vAlign w:val="bottom"/>
          </w:tcPr>
          <w:p>
            <w:pPr>
              <w:spacing w:after="0"/>
              <w:rPr>
                <w:sz w:val="19"/>
                <w:szCs w:val="19"/>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1,657</w:t>
            </w:r>
          </w:p>
        </w:tc>
        <w:tc>
          <w:tcPr>
            <w:tcW w:w="1400" w:type="dxa"/>
            <w:vAlign w:val="bottom"/>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1"/>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As adjusted (non-GAAP)</w:t>
            </w: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17,464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2,646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865"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AbbVie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Reconciliaton of GAAP Reported to Non-GAAP Adjusted Informaton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60" w:type="dxa"/>
            <w:vAlign w:val="bottom"/>
          </w:tcPr>
          <w:p>
            <w:pPr>
              <w:spacing w:after="0"/>
              <w:rPr>
                <w:sz w:val="20"/>
                <w:szCs w:val="20"/>
                <w:color w:val="auto"/>
              </w:rPr>
            </w:pPr>
            <w:r>
              <w:rPr>
                <w:rFonts w:ascii="Arial" w:cs="Arial" w:eastAsia="Arial" w:hAnsi="Arial"/>
                <w:sz w:val="18"/>
                <w:szCs w:val="18"/>
                <w:color w:val="auto"/>
              </w:rPr>
              <w:t>1. Specifed items impacted results as follows: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66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280" w:type="dxa"/>
            <w:vAlign w:val="bottom"/>
            <w:tcBorders>
              <w:bottom w:val="single" w:sz="8" w:color="auto"/>
            </w:tcBorders>
            <w:gridSpan w:val="5"/>
          </w:tcPr>
          <w:p>
            <w:pPr>
              <w:jc w:val="right"/>
              <w:ind w:right="690"/>
              <w:spacing w:after="0"/>
              <w:rPr>
                <w:sz w:val="20"/>
                <w:szCs w:val="20"/>
                <w:color w:val="auto"/>
              </w:rPr>
            </w:pPr>
            <w:r>
              <w:rPr>
                <w:rFonts w:ascii="Arial" w:cs="Arial" w:eastAsia="Arial" w:hAnsi="Arial"/>
                <w:sz w:val="18"/>
                <w:szCs w:val="18"/>
                <w:b w:val="1"/>
                <w:bCs w:val="1"/>
                <w:color w:val="auto"/>
              </w:rPr>
              <w:t>Nine Months Ended September 30, 2022</w:t>
            </w:r>
          </w:p>
        </w:tc>
        <w:tc>
          <w:tcPr>
            <w:tcW w:w="0" w:type="dxa"/>
            <w:vAlign w:val="bottom"/>
          </w:tcPr>
          <w:p>
            <w:pPr>
              <w:spacing w:after="0"/>
              <w:rPr>
                <w:sz w:val="1"/>
                <w:szCs w:val="1"/>
                <w:color w:val="auto"/>
              </w:rPr>
            </w:pPr>
          </w:p>
        </w:tc>
      </w:tr>
      <w:tr>
        <w:trPr>
          <w:trHeight w:val="227"/>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(in millions, except per share data)</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Diluted</w:t>
            </w:r>
          </w:p>
        </w:tc>
        <w:tc>
          <w:tcPr>
            <w:tcW w:w="0" w:type="dxa"/>
            <w:vAlign w:val="bottom"/>
          </w:tcPr>
          <w:p>
            <w:pPr>
              <w:spacing w:after="0"/>
              <w:rPr>
                <w:sz w:val="1"/>
                <w:szCs w:val="1"/>
                <w:color w:val="auto"/>
              </w:rPr>
            </w:pPr>
          </w:p>
        </w:tc>
      </w:tr>
      <w:tr>
        <w:trPr>
          <w:trHeight w:val="226"/>
        </w:trPr>
        <w:tc>
          <w:tcPr>
            <w:tcW w:w="6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Pre-tax</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line="225" w:lineRule="exact"/>
              <w:rPr>
                <w:sz w:val="20"/>
                <w:szCs w:val="20"/>
                <w:color w:val="auto"/>
              </w:rPr>
            </w:pPr>
            <w:r>
              <w:rPr>
                <w:rFonts w:ascii="Arial" w:cs="Arial" w:eastAsia="Arial" w:hAnsi="Arial"/>
                <w:sz w:val="18"/>
                <w:szCs w:val="18"/>
                <w:color w:val="auto"/>
              </w:rPr>
              <w:t>Afer-tax</w:t>
            </w:r>
            <w:r>
              <w:rPr>
                <w:rFonts w:ascii="Arial" w:cs="Arial" w:eastAsia="Arial" w:hAnsi="Arial"/>
                <w:sz w:val="23"/>
                <w:szCs w:val="23"/>
                <w:color w:val="auto"/>
                <w:vertAlign w:val="superscript"/>
              </w:rPr>
              <w:t>a</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EPS</w:t>
            </w:r>
          </w:p>
        </w:tc>
        <w:tc>
          <w:tcPr>
            <w:tcW w:w="0" w:type="dxa"/>
            <w:vAlign w:val="bottom"/>
          </w:tcPr>
          <w:p>
            <w:pPr>
              <w:spacing w:after="0"/>
              <w:rPr>
                <w:sz w:val="1"/>
                <w:szCs w:val="1"/>
                <w:color w:val="auto"/>
              </w:rPr>
            </w:pPr>
          </w:p>
        </w:tc>
      </w:tr>
      <w:tr>
        <w:trPr>
          <w:trHeight w:val="204"/>
        </w:trPr>
        <w:tc>
          <w:tcPr>
            <w:tcW w:w="666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As reported (GAAP)</w:t>
            </w:r>
          </w:p>
        </w:tc>
        <w:tc>
          <w:tcPr>
            <w:tcW w:w="280" w:type="dxa"/>
            <w:vAlign w:val="bottom"/>
          </w:tcPr>
          <w:p>
            <w:pPr>
              <w:jc w:val="right"/>
              <w:ind w:right="70"/>
              <w:spacing w:after="0" w:line="204" w:lineRule="exact"/>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0"/>
              <w:spacing w:after="0" w:line="204" w:lineRule="exact"/>
              <w:rPr>
                <w:sz w:val="20"/>
                <w:szCs w:val="20"/>
                <w:color w:val="auto"/>
              </w:rPr>
            </w:pPr>
            <w:r>
              <w:rPr>
                <w:rFonts w:ascii="Arial" w:cs="Arial" w:eastAsia="Arial" w:hAnsi="Arial"/>
                <w:sz w:val="18"/>
                <w:szCs w:val="18"/>
                <w:b w:val="1"/>
                <w:bCs w:val="1"/>
                <w:color w:val="auto"/>
              </w:rPr>
              <w:t>10,512</w:t>
            </w:r>
          </w:p>
        </w:tc>
        <w:tc>
          <w:tcPr>
            <w:tcW w:w="380" w:type="dxa"/>
            <w:vAlign w:val="bottom"/>
          </w:tcPr>
          <w:p>
            <w:pPr>
              <w:jc w:val="right"/>
              <w:ind w:right="130"/>
              <w:spacing w:after="0" w:line="204"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9,363</w:t>
            </w:r>
          </w:p>
        </w:tc>
        <w:tc>
          <w:tcPr>
            <w:tcW w:w="400" w:type="dxa"/>
            <w:vAlign w:val="bottom"/>
          </w:tcPr>
          <w:p>
            <w:pPr>
              <w:jc w:val="right"/>
              <w:ind w:right="90"/>
              <w:spacing w:after="0" w:line="204"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5.24</w:t>
            </w:r>
          </w:p>
        </w:tc>
        <w:tc>
          <w:tcPr>
            <w:tcW w:w="0" w:type="dxa"/>
            <w:vAlign w:val="bottom"/>
          </w:tcPr>
          <w:p>
            <w:pPr>
              <w:spacing w:after="0"/>
              <w:rPr>
                <w:sz w:val="1"/>
                <w:szCs w:val="1"/>
                <w:color w:val="auto"/>
              </w:rPr>
            </w:pPr>
          </w:p>
        </w:tc>
      </w:tr>
      <w:tr>
        <w:trPr>
          <w:trHeight w:val="227"/>
        </w:trPr>
        <w:tc>
          <w:tcPr>
            <w:tcW w:w="6660" w:type="dxa"/>
            <w:vAlign w:val="bottom"/>
          </w:tcPr>
          <w:p>
            <w:pPr>
              <w:ind w:left="20"/>
              <w:spacing w:after="0"/>
              <w:rPr>
                <w:sz w:val="20"/>
                <w:szCs w:val="20"/>
                <w:color w:val="auto"/>
              </w:rPr>
            </w:pPr>
            <w:r>
              <w:rPr>
                <w:rFonts w:ascii="Arial" w:cs="Arial" w:eastAsia="Arial" w:hAnsi="Arial"/>
                <w:sz w:val="18"/>
                <w:szCs w:val="18"/>
                <w:color w:val="auto"/>
              </w:rPr>
              <w:t>Adjusted for specifed items: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Intangible asset amortzaton</w:t>
            </w:r>
          </w:p>
        </w:tc>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5,728</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4,794</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Intangible asset impairment</w:t>
            </w:r>
          </w:p>
        </w:tc>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770</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Acquisiton and integraton costs</w:t>
            </w:r>
          </w:p>
        </w:tc>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567</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Change in fair value of contngent consideraton</w:t>
            </w:r>
          </w:p>
        </w:tc>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647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657</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Pylera divestture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Litgaton maters</w:t>
            </w:r>
          </w:p>
        </w:tc>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2,497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
        </w:trPr>
        <w:tc>
          <w:tcPr>
            <w:tcW w:w="6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adjusted (non-GAAP)</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20,858</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18,175</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10.18</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Represents net earnings atributable to AbbVie Inc.</w:t>
      </w:r>
    </w:p>
    <w:p>
      <w:pPr>
        <w:spacing w:after="0" w:line="1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Acquisiton and integraton costs primarily refect integraton costs related to the Allergan acquisiton. Litgaton maters primarily include a charge related to a potental setlement of litgaton involving Allergan's past sales of opioid products. Other primarily includes restructuring charges associated with streamlining global operatons.</w:t>
      </w:r>
    </w:p>
    <w:p>
      <w:pPr>
        <w:spacing w:after="0" w:line="14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Reported GAAP earnings and adjusted non-GAAP earnings for the nine months ended September 30, 2022 included acquired IPR&amp;D and milestones expense of $454 million on a pre-tax and $439 million on an afer-tax basis, representng an unfavorable impact of $0.25 to both diluted EPS and adjusted diluted EPS.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20" w:type="dxa"/>
            <w:vAlign w:val="bottom"/>
            <w:gridSpan w:val="2"/>
          </w:tcPr>
          <w:p>
            <w:pPr>
              <w:spacing w:after="0"/>
              <w:rPr>
                <w:sz w:val="20"/>
                <w:szCs w:val="20"/>
                <w:color w:val="auto"/>
              </w:rPr>
            </w:pPr>
            <w:r>
              <w:rPr>
                <w:rFonts w:ascii="Arial" w:cs="Arial" w:eastAsia="Arial" w:hAnsi="Arial"/>
                <w:sz w:val="18"/>
                <w:szCs w:val="18"/>
                <w:color w:val="auto"/>
              </w:rPr>
              <w:t>2. The impact of the specifed items by line item was as follows:</w:t>
            </w: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5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w:t>
            </w:r>
          </w:p>
        </w:tc>
        <w:tc>
          <w:tcPr>
            <w:tcW w:w="100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Nine Months Ended September 30, 2022</w:t>
            </w: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58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8"/>
                <w:szCs w:val="18"/>
                <w:color w:val="auto"/>
                <w:w w:val="93"/>
              </w:rPr>
              <w:t>Other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7"/>
              </w:rPr>
              <w:t>Cost of</w:t>
            </w: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Arial" w:cs="Arial" w:eastAsia="Arial" w:hAnsi="Arial"/>
                <w:sz w:val="18"/>
                <w:szCs w:val="18"/>
                <w:color w:val="auto"/>
                <w:w w:val="98"/>
              </w:rPr>
              <w:t>operatng</w:t>
            </w: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88"/>
              </w:rPr>
              <w:t>expense</w:t>
            </w: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8"/>
              </w:rPr>
              <w:t>expense</w:t>
            </w: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2"/>
              </w:rPr>
              <w:t>products</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SG&amp;A</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9"/>
              </w:rPr>
              <w:t>R&amp;D</w:t>
            </w:r>
          </w:p>
        </w:tc>
        <w:tc>
          <w:tcPr>
            <w:tcW w:w="1240" w:type="dxa"/>
            <w:vAlign w:val="bottom"/>
          </w:tcPr>
          <w:p>
            <w:pPr>
              <w:jc w:val="center"/>
              <w:spacing w:after="0" w:line="189" w:lineRule="exact"/>
              <w:rPr>
                <w:sz w:val="20"/>
                <w:szCs w:val="20"/>
                <w:color w:val="auto"/>
              </w:rPr>
            </w:pPr>
            <w:r>
              <w:rPr>
                <w:rFonts w:ascii="Arial" w:cs="Arial" w:eastAsia="Arial" w:hAnsi="Arial"/>
                <w:sz w:val="18"/>
                <w:szCs w:val="18"/>
                <w:color w:val="auto"/>
                <w:w w:val="93"/>
              </w:rPr>
              <w:t>(income),</w:t>
            </w: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auto"/>
                <w:w w:val="90"/>
              </w:rPr>
              <w:t>(income),</w:t>
            </w:r>
          </w:p>
        </w:tc>
        <w:tc>
          <w:tcPr>
            <w:tcW w:w="0" w:type="dxa"/>
            <w:vAlign w:val="bottom"/>
          </w:tcPr>
          <w:p>
            <w:pPr>
              <w:spacing w:after="0"/>
              <w:rPr>
                <w:sz w:val="1"/>
                <w:szCs w:val="1"/>
                <w:color w:val="auto"/>
              </w:rPr>
            </w:pPr>
          </w:p>
        </w:tc>
      </w:tr>
      <w:tr>
        <w:trPr>
          <w:trHeight w:val="227"/>
        </w:trPr>
        <w:tc>
          <w:tcPr>
            <w:tcW w:w="58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sold</w:t>
            </w:r>
          </w:p>
        </w:tc>
        <w:tc>
          <w:tcPr>
            <w:tcW w:w="11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net</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net</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580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13,244</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11,843</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4,720</w:t>
            </w:r>
          </w:p>
        </w:tc>
        <w:tc>
          <w:tcPr>
            <w:tcW w:w="4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57</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427</w:t>
            </w:r>
          </w:p>
        </w:tc>
      </w:tr>
      <w:tr>
        <w:trPr>
          <w:trHeight w:val="228"/>
        </w:trPr>
        <w:tc>
          <w:tcPr>
            <w:tcW w:w="5800" w:type="dxa"/>
            <w:vAlign w:val="bottom"/>
          </w:tcPr>
          <w:p>
            <w:pPr>
              <w:spacing w:after="0"/>
              <w:rPr>
                <w:sz w:val="20"/>
                <w:szCs w:val="20"/>
                <w:color w:val="auto"/>
              </w:rPr>
            </w:pPr>
            <w:r>
              <w:rPr>
                <w:rFonts w:ascii="Arial" w:cs="Arial" w:eastAsia="Arial" w:hAnsi="Arial"/>
                <w:sz w:val="18"/>
                <w:szCs w:val="18"/>
                <w:color w:val="auto"/>
              </w:rPr>
              <w:t>Adjusted for specifed items:</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5800" w:type="dxa"/>
            <w:vAlign w:val="bottom"/>
          </w:tcPr>
          <w:p>
            <w:pPr>
              <w:ind w:left="120"/>
              <w:spacing w:after="0"/>
              <w:rPr>
                <w:sz w:val="20"/>
                <w:szCs w:val="20"/>
                <w:color w:val="auto"/>
              </w:rPr>
            </w:pPr>
            <w:r>
              <w:rPr>
                <w:rFonts w:ascii="Arial" w:cs="Arial" w:eastAsia="Arial" w:hAnsi="Arial"/>
                <w:sz w:val="18"/>
                <w:szCs w:val="18"/>
                <w:color w:val="auto"/>
              </w:rPr>
              <w:t>Intangible asset amortzaton</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(5,728)</w:t>
            </w:r>
          </w:p>
        </w:tc>
        <w:tc>
          <w:tcPr>
            <w:tcW w:w="32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00" w:type="dxa"/>
            <w:vAlign w:val="bottom"/>
          </w:tcPr>
          <w:p>
            <w:pPr>
              <w:ind w:left="120"/>
              <w:spacing w:after="0"/>
              <w:rPr>
                <w:sz w:val="20"/>
                <w:szCs w:val="20"/>
                <w:color w:val="auto"/>
              </w:rPr>
            </w:pPr>
            <w:r>
              <w:rPr>
                <w:rFonts w:ascii="Arial" w:cs="Arial" w:eastAsia="Arial" w:hAnsi="Arial"/>
                <w:sz w:val="18"/>
                <w:szCs w:val="18"/>
                <w:color w:val="auto"/>
              </w:rPr>
              <w:t>Intangible asset impairment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(770)</w:t>
            </w:r>
          </w:p>
        </w:tc>
        <w:tc>
          <w:tcPr>
            <w:tcW w:w="32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ind w:left="120"/>
              <w:spacing w:after="0"/>
              <w:rPr>
                <w:sz w:val="20"/>
                <w:szCs w:val="20"/>
                <w:color w:val="auto"/>
              </w:rPr>
            </w:pPr>
            <w:r>
              <w:rPr>
                <w:rFonts w:ascii="Arial" w:cs="Arial" w:eastAsia="Arial" w:hAnsi="Arial"/>
                <w:sz w:val="18"/>
                <w:szCs w:val="18"/>
                <w:color w:val="auto"/>
              </w:rPr>
              <w:t>Acquisiton and integraton costs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ind w:left="120"/>
              <w:spacing w:after="0"/>
              <w:rPr>
                <w:sz w:val="20"/>
                <w:szCs w:val="20"/>
                <w:color w:val="auto"/>
              </w:rPr>
            </w:pPr>
            <w:r>
              <w:rPr>
                <w:rFonts w:ascii="Arial" w:cs="Arial" w:eastAsia="Arial" w:hAnsi="Arial"/>
                <w:sz w:val="18"/>
                <w:szCs w:val="18"/>
                <w:color w:val="auto"/>
              </w:rPr>
              <w:t>Change in fair value of contngent consideraton</w:t>
            </w: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(647)</w:t>
            </w:r>
          </w:p>
        </w:tc>
      </w:tr>
      <w:tr>
        <w:trPr>
          <w:trHeight w:val="230"/>
        </w:trPr>
        <w:tc>
          <w:tcPr>
            <w:tcW w:w="5800" w:type="dxa"/>
            <w:vAlign w:val="bottom"/>
          </w:tcPr>
          <w:p>
            <w:pPr>
              <w:ind w:left="120"/>
              <w:spacing w:after="0"/>
              <w:rPr>
                <w:sz w:val="20"/>
                <w:szCs w:val="20"/>
                <w:color w:val="auto"/>
              </w:rPr>
            </w:pPr>
            <w:r>
              <w:rPr>
                <w:rFonts w:ascii="Arial" w:cs="Arial" w:eastAsia="Arial" w:hAnsi="Arial"/>
                <w:sz w:val="18"/>
                <w:szCs w:val="18"/>
                <w:color w:val="auto"/>
              </w:rPr>
              <w:t>Pylera divestture</w:t>
            </w: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00" w:type="dxa"/>
            <w:vAlign w:val="bottom"/>
          </w:tcPr>
          <w:p>
            <w:pPr>
              <w:ind w:left="120"/>
              <w:spacing w:after="0"/>
              <w:rPr>
                <w:sz w:val="20"/>
                <w:szCs w:val="20"/>
                <w:color w:val="auto"/>
              </w:rPr>
            </w:pPr>
            <w:r>
              <w:rPr>
                <w:rFonts w:ascii="Arial" w:cs="Arial" w:eastAsia="Arial" w:hAnsi="Arial"/>
                <w:sz w:val="18"/>
                <w:szCs w:val="18"/>
                <w:color w:val="auto"/>
              </w:rPr>
              <w:t>Litgaton maters</w:t>
            </w: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(2,497)</w:t>
            </w:r>
          </w:p>
        </w:tc>
        <w:tc>
          <w:tcPr>
            <w:tcW w:w="3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6,502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8,976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4,694</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w:t>
            </w: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-1508125</wp:posOffset>
            </wp:positionV>
            <wp:extent cx="34461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3. The adjusted tax rate for the frst nine months of 2022 was 12.8 percent, as detailed below:</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(dollars in millions)</w:t>
            </w:r>
          </w:p>
        </w:tc>
        <w:tc>
          <w:tcPr>
            <w:tcW w:w="12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 September 30, 2022</w:t>
            </w:r>
          </w:p>
        </w:tc>
        <w:tc>
          <w:tcPr>
            <w:tcW w:w="0" w:type="dxa"/>
            <w:vAlign w:val="bottom"/>
          </w:tcPr>
          <w:p>
            <w:pPr>
              <w:spacing w:after="0"/>
              <w:rPr>
                <w:sz w:val="1"/>
                <w:szCs w:val="1"/>
                <w:color w:val="auto"/>
              </w:rPr>
            </w:pPr>
          </w:p>
        </w:tc>
      </w:tr>
      <w:tr>
        <w:trPr>
          <w:trHeight w:val="227"/>
        </w:trPr>
        <w:tc>
          <w:tcPr>
            <w:tcW w:w="656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7"/>
              </w:rPr>
              <w:t>Pre-tax earnings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3"/>
              </w:rPr>
              <w:t>Income taxes</w:t>
            </w: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07"/>
        </w:trPr>
        <w:tc>
          <w:tcPr>
            <w:tcW w:w="656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10,512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rPr>
              <w:t>1,139</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10.8 %</w:t>
            </w:r>
          </w:p>
        </w:tc>
        <w:tc>
          <w:tcPr>
            <w:tcW w:w="0" w:type="dxa"/>
            <w:vAlign w:val="bottom"/>
          </w:tcPr>
          <w:p>
            <w:pPr>
              <w:spacing w:after="0"/>
              <w:rPr>
                <w:sz w:val="1"/>
                <w:szCs w:val="1"/>
                <w:color w:val="auto"/>
              </w:rPr>
            </w:pPr>
          </w:p>
        </w:tc>
      </w:tr>
      <w:tr>
        <w:trPr>
          <w:trHeight w:val="227"/>
        </w:trPr>
        <w:tc>
          <w:tcPr>
            <w:tcW w:w="6560" w:type="dxa"/>
            <w:vAlign w:val="bottom"/>
          </w:tcPr>
          <w:p>
            <w:pPr>
              <w:spacing w:after="0"/>
              <w:rPr>
                <w:sz w:val="20"/>
                <w:szCs w:val="20"/>
                <w:color w:val="auto"/>
              </w:rPr>
            </w:pPr>
            <w:r>
              <w:rPr>
                <w:rFonts w:ascii="Arial" w:cs="Arial" w:eastAsia="Arial" w:hAnsi="Arial"/>
                <w:sz w:val="18"/>
                <w:szCs w:val="18"/>
                <w:color w:val="auto"/>
              </w:rPr>
              <w:t>Specifed items</w:t>
            </w:r>
          </w:p>
        </w:tc>
        <w:tc>
          <w:tcPr>
            <w:tcW w:w="1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10,346</w:t>
            </w:r>
          </w:p>
        </w:tc>
        <w:tc>
          <w:tcPr>
            <w:tcW w:w="260" w:type="dxa"/>
            <w:vAlign w:val="bottom"/>
          </w:tcPr>
          <w:p>
            <w:pPr>
              <w:spacing w:after="0"/>
              <w:rPr>
                <w:sz w:val="19"/>
                <w:szCs w:val="19"/>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1,534</w:t>
            </w:r>
          </w:p>
        </w:tc>
        <w:tc>
          <w:tcPr>
            <w:tcW w:w="1400" w:type="dxa"/>
            <w:vAlign w:val="bottom"/>
          </w:tcPr>
          <w:p>
            <w:pPr>
              <w:jc w:val="right"/>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1"/>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As adjusted (non-GAAP)</w:t>
            </w: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20,858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2,673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12.8 %</w:t>
            </w: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65" w:right="339" w:bottom="1440" w:gutter="0" w:footer="0" w:header="0"/>
        </w:sectPr>
      </w:pPr>
    </w:p>
    <w:p>
      <w:pPr>
        <w:spacing w:after="0" w:line="383"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13</w:t>
      </w:r>
    </w:p>
    <w:sectPr>
      <w:pgSz w:w="11900" w:h="16838" w:orient="portrait"/>
      <w:cols w:equalWidth="0" w:num="1">
        <w:col w:w="11240"/>
      </w:cols>
      <w:pgMar w:left="320" w:top="86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a"/>
      <w:numFmt w:val="bullet"/>
      <w:start w:val="1"/>
    </w:lvl>
  </w:abstractNum>
  <w:abstractNum w:abstractNumId="6">
    <w:nsid w:val="66EF438D"/>
    <w:multiLevelType w:val="hybridMultilevel"/>
    <w:lvl w:ilvl="0">
      <w:lvlJc w:val="left"/>
      <w:lvlText w:val="b"/>
      <w:numFmt w:val="bullet"/>
      <w:start w:val="1"/>
    </w:lvl>
  </w:abstractNum>
  <w:abstractNum w:abstractNumId="7">
    <w:nsid w:val="140E0F76"/>
    <w:multiLevelType w:val="hybridMultilevel"/>
    <w:lvl w:ilvl="0">
      <w:lvlJc w:val="left"/>
      <w:lvlText w:val="c"/>
      <w:numFmt w:val="bullet"/>
      <w:start w:val="1"/>
    </w:lvl>
  </w:abstractNum>
  <w:abstractNum w:abstractNumId="8">
    <w:nsid w:val="3352255A"/>
    <w:multiLevelType w:val="hybridMultilevel"/>
    <w:lvl w:ilvl="0">
      <w:lvlJc w:val="left"/>
      <w:lvlText w:val="a"/>
      <w:numFmt w:val="bullet"/>
      <w:start w:val="1"/>
    </w:lvl>
  </w:abstractNum>
  <w:abstractNum w:abstractNumId="9">
    <w:nsid w:val="109CF92E"/>
    <w:multiLevelType w:val="hybridMultilevel"/>
    <w:lvl w:ilvl="0">
      <w:lvlJc w:val="left"/>
      <w:lvlText w:val="b"/>
      <w:numFmt w:val="bullet"/>
      <w:start w:val="1"/>
    </w:lvl>
  </w:abstractNum>
  <w:abstractNum w:abstractNumId="10">
    <w:nsid w:val="DED7263"/>
    <w:multiLevelType w:val="hybridMultilevel"/>
    <w:lvl w:ilvl="0">
      <w:lvlJc w:val="left"/>
      <w:lvlText w:val="c"/>
      <w:numFmt w:val="bullet"/>
      <w:start w:val="1"/>
    </w:lvl>
  </w:abstractNum>
  <w:abstractNum w:abstractNumId="11">
    <w:nsid w:val="7FDCC233"/>
    <w:multiLevelType w:val="hybridMultilevel"/>
    <w:lvl w:ilvl="0">
      <w:lvlJc w:val="left"/>
      <w:lvlText w:val="a"/>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a"/>
      <w:numFmt w:val="bullet"/>
      <w:start w:val="1"/>
    </w:lvl>
  </w:abstractNum>
  <w:abstractNum w:abstractNumId="14">
    <w:nsid w:val="6B68079A"/>
    <w:multiLevelType w:val="hybridMultilevel"/>
    <w:lvl w:ilvl="0">
      <w:lvlJc w:val="left"/>
      <w:lvlText w:val="a"/>
      <w:numFmt w:val="bullet"/>
      <w:start w:val="1"/>
    </w:lvl>
  </w:abstractNum>
  <w:abstractNum w:abstractNumId="15">
    <w:nsid w:val="4E6AFB66"/>
    <w:multiLevelType w:val="hybridMultilevel"/>
    <w:lvl w:ilvl="0">
      <w:lvlJc w:val="left"/>
      <w:lvlText w:val="a"/>
      <w:numFmt w:val="bullet"/>
      <w:start w:val="1"/>
    </w:lvl>
  </w:abstractNum>
  <w:abstractNum w:abstractNumId="16">
    <w:nsid w:val="25E45D32"/>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2023-10-27T06:56:39Z</dcterms:created>
  <dcterms:modified xsi:type="dcterms:W3CDTF">2023-10-27T06:56:39Z</dcterms:modified>
</cp:coreProperties>
</file>