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3, 2026</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89" w:right="339" w:bottom="1440" w:gutter="0" w:footer="0" w:header="0"/>
        </w:sectPr>
      </w:pP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680"/>
        <w:spacing w:after="0"/>
        <w:rPr>
          <w:sz w:val="20"/>
          <w:szCs w:val="20"/>
          <w:color w:val="auto"/>
        </w:rPr>
      </w:pPr>
      <w:r>
        <w:rPr>
          <w:rFonts w:ascii="Arial" w:cs="Arial" w:eastAsia="Arial" w:hAnsi="Arial"/>
          <w:sz w:val="17"/>
          <w:szCs w:val="17"/>
          <w:color w:val="auto"/>
        </w:rPr>
        <w:t>(State or other Jurisdiction</w:t>
      </w:r>
    </w:p>
    <w:p>
      <w:pPr>
        <w:spacing w:after="0" w:line="26"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001-35565</w:t>
      </w:r>
    </w:p>
    <w:p>
      <w:pPr>
        <w:spacing w:after="0" w:line="40"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32-0375147</w:t>
      </w:r>
    </w:p>
    <w:p>
      <w:pPr>
        <w:spacing w:after="0" w:line="40"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15"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92" w:lineRule="exact"/>
        <w:rPr>
          <w:sz w:val="24"/>
          <w:szCs w:val="24"/>
          <w:color w:val="auto"/>
        </w:rPr>
      </w:pPr>
    </w:p>
    <w:p>
      <w:pPr>
        <w:sectPr>
          <w:pgSz w:w="11900" w:h="16838" w:orient="portrait"/>
          <w:cols w:equalWidth="0" w:num="3">
            <w:col w:w="3800" w:space="720"/>
            <w:col w:w="3540" w:space="720"/>
            <w:col w:w="2460"/>
          </w:cols>
          <w:pgMar w:left="320" w:top="1189" w:right="33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offices)(Zip Code)</w:t>
      </w:r>
    </w:p>
    <w:p>
      <w:pPr>
        <w:sectPr>
          <w:pgSz w:w="11900" w:h="16838" w:orient="portrait"/>
          <w:cols w:equalWidth="0" w:num="1">
            <w:col w:w="11240"/>
          </w:cols>
          <w:pgMar w:left="320" w:top="1189" w:right="339" w:bottom="1440" w:gutter="0" w:footer="0" w:header="0"/>
          <w:type w:val="continuous"/>
        </w:sectPr>
      </w:pPr>
    </w:p>
    <w:p>
      <w:pPr>
        <w:spacing w:after="0" w:line="126"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(847) 932-7900</w:t>
      </w:r>
    </w:p>
    <w:p>
      <w:pPr>
        <w:spacing w:after="0" w:line="142" w:lineRule="exact"/>
        <w:rPr>
          <w:sz w:val="24"/>
          <w:szCs w:val="24"/>
          <w:color w:val="auto"/>
        </w:rPr>
      </w:pPr>
    </w:p>
    <w:p>
      <w:pPr>
        <w:sectPr>
          <w:pgSz w:w="11900" w:h="16838" w:orient="portrait"/>
          <w:cols w:equalWidth="0" w:num="2">
            <w:col w:w="7040" w:space="100"/>
            <w:col w:w="4100"/>
          </w:cols>
          <w:pgMar w:left="320" w:top="1189" w:right="339" w:bottom="1440" w:gutter="0" w:footer="0" w:header="0"/>
          <w:type w:val="continuous"/>
        </w:sect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340" w:right="1820" w:hanging="3332"/>
        <w:spacing w:after="0" w:line="394" w:lineRule="auto"/>
        <w:tabs>
          <w:tab w:leader="none" w:pos="5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217"/>
        </w:trPr>
        <w:tc>
          <w:tcPr>
            <w:tcW w:w="3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Title of each class</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$0.01 Par Value</w:t>
            </w:r>
          </w:p>
        </w:tc>
        <w:tc>
          <w:tcPr>
            <w:tcW w:w="240" w:type="dxa"/>
            <w:vAlign w:val="bottom"/>
          </w:tcPr>
          <w:p>
            <w:pPr>
              <w:spacing w:after="0"/>
              <w:rPr>
                <w:sz w:val="18"/>
                <w:szCs w:val="18"/>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ABBV</w:t>
            </w:r>
          </w:p>
        </w:tc>
        <w:tc>
          <w:tcPr>
            <w:tcW w:w="26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215"/>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NYSE Texas</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0.750% Senior Notes due 2027</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ABBV27</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2028</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ABBV28</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2.625% Senior Notes due 2028</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rPr>
              <w:t>ABBV28B</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2029</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ABBV29</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1.250% Senior Notes due 2031</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ABBV31</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5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40"/>
        <w:spacing w:after="0"/>
        <w:rPr>
          <w:sz w:val="20"/>
          <w:szCs w:val="20"/>
          <w:color w:val="auto"/>
        </w:rPr>
      </w:pPr>
      <w:r>
        <w:rPr>
          <w:rFonts w:ascii="Arial" w:cs="Arial" w:eastAsia="Arial" w:hAnsi="Arial"/>
          <w:sz w:val="20"/>
          <w:szCs w:val="20"/>
          <w:color w:val="auto"/>
        </w:rPr>
        <w:t>Reported GAAP earnings and adjusted non-GAAP earnings for the first quarter of 2026 are expected to include acquired IPR&amp;D and milestones expense of $744 million on a pre-tax basis, representing an unfavorable impact of $0.41 to both GAAP diluted earnings per share and adjusted non-GAAP diluted earnings per share. Results for the quarter ended March 31, 2026 have not been finalized and are subject to our financial statement closing procedures. There can be no assurance that our final results will not differ from these preliminary estimates.</w:t>
      </w:r>
    </w:p>
    <w:p>
      <w:pPr>
        <w:spacing w:after="0" w:line="200"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color w:val="auto"/>
        </w:rPr>
        <w:t>While acquired IPR&amp;D and milestones expense may be incurred upon execution of collaborations, licensing agreements, and other asset acquisitions, AbbVie does not forecast acquired IPR&amp;D and milestones expense due to uncertainty of the future occurrence and timing of these transactions. Adjusted diluted earnings per share guidance for 2026 previously announced on February 4, 2026 excluded the impact of acquired IPR&amp;D and milestones expense that may be incurred in 2026. AbbVie’s full-year 2026 adjusted diluted earnings per share guidance range, including the impact of first quarter 2026 acquired IPR&amp;D and milestones expense, is $13.96 - $14.16. AbbVie’s first quarter 2026 adjusted diluted earnings per share guidance range, including the impact of first quarter 2026 acquired IPR&amp;D and milestones expense, is $2.56 - $2.60.</w:t>
      </w:r>
    </w:p>
    <w:p>
      <w:pPr>
        <w:spacing w:after="0" w:line="199" w:lineRule="exact"/>
        <w:rPr>
          <w:sz w:val="20"/>
          <w:szCs w:val="20"/>
          <w:color w:val="auto"/>
        </w:rPr>
      </w:pPr>
    </w:p>
    <w:p>
      <w:pPr>
        <w:ind w:right="760"/>
        <w:spacing w:after="0" w:line="271" w:lineRule="auto"/>
        <w:rPr>
          <w:sz w:val="20"/>
          <w:szCs w:val="20"/>
          <w:color w:val="auto"/>
        </w:rPr>
      </w:pPr>
      <w:r>
        <w:rPr>
          <w:rFonts w:ascii="Arial" w:cs="Arial" w:eastAsia="Arial" w:hAnsi="Arial"/>
          <w:sz w:val="20"/>
          <w:szCs w:val="20"/>
          <w:color w:val="auto"/>
        </w:rPr>
        <w:t>Furnished as Exhibit 99.1 to this Current Report on Form 8-K and incorporated herein by reference is guidance for 2026 including the estimated acquired IPR&amp;D and milestones expense incurred during the first quarter of 2026.</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The information set forth in this Current Report on Form 8-K, including Exhibit 99.1, shall not be deemed "Filed" for the purpose of Section 18 of the Securities Exchange Act of 1934, as amended (the "Exchange Act"), or otherwise subject to the liabilities thereof, nor shall it be incorporated by reference into future filings by AbbVie Inc. under the Exchange Act or under the Securities Act of 1933, as amended, except to the extent specifically provided in any such filing.</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8"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Some statements in this Current Report on Form 8-K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changes to laws and regulations applicable to our industry, the impact of global macroeconomic factors, such as economic downturns or uncertainty, international conflict, trade disputes and tariffs, and other uncertainties and risks associated with global business operations. Additional information about the economic, competitive, governmental, technological and other factors that may affect AbbVie's operations is set forth in Item 1A, "Risk Factors," of AbbVie's 2025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20" w:type="dxa"/>
            <w:vAlign w:val="bottom"/>
            <w:gridSpan w:val="4"/>
          </w:tcPr>
          <w:p>
            <w:pPr>
              <w:spacing w:after="0"/>
              <w:rPr>
                <w:sz w:val="20"/>
                <w:szCs w:val="20"/>
                <w:color w:val="auto"/>
              </w:rPr>
            </w:pPr>
            <w:r>
              <w:rPr>
                <w:rFonts w:ascii="Arial" w:cs="Arial" w:eastAsia="Arial" w:hAnsi="Arial"/>
                <w:sz w:val="20"/>
                <w:szCs w:val="20"/>
                <w:color w:val="auto"/>
              </w:rPr>
              <w:t>(d) Exhibits</w:t>
            </w:r>
          </w:p>
        </w:tc>
        <w:tc>
          <w:tcPr>
            <w:tcW w:w="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68"/>
        </w:trPr>
        <w:tc>
          <w:tcPr>
            <w:tcW w:w="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20"/>
                <w:szCs w:val="20"/>
                <w:b w:val="1"/>
                <w:bCs w:val="1"/>
                <w:color w:val="auto"/>
              </w:rPr>
              <w:t>Exhibit No.</w:t>
            </w:r>
          </w:p>
        </w:tc>
        <w:tc>
          <w:tcPr>
            <w:tcW w:w="2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20"/>
                <w:szCs w:val="20"/>
                <w:b w:val="1"/>
                <w:bCs w:val="1"/>
                <w:color w:val="auto"/>
              </w:rPr>
              <w:t>Exhibit</w:t>
            </w:r>
          </w:p>
        </w:tc>
      </w:tr>
      <w:tr>
        <w:trPr>
          <w:trHeight w:val="196"/>
        </w:trPr>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3051F2"/>
            </w:tcBorders>
          </w:tcPr>
          <w:p>
            <w:pPr>
              <w:spacing w:after="0" w:line="196" w:lineRule="exact"/>
              <w:rPr>
                <w:sz w:val="20"/>
                <w:szCs w:val="20"/>
                <w:color w:val="auto"/>
              </w:rPr>
            </w:pPr>
            <w:r>
              <w:rPr>
                <w:rFonts w:ascii="Arial" w:cs="Arial" w:eastAsia="Arial" w:hAnsi="Arial"/>
                <w:sz w:val="20"/>
                <w:szCs w:val="20"/>
                <w:color w:val="3051F2"/>
                <w:w w:val="97"/>
              </w:rPr>
              <w:t>99.</w:t>
            </w:r>
            <w:r>
              <w:rPr>
                <w:rFonts w:ascii="Arial" w:cs="Arial" w:eastAsia="Arial" w:hAnsi="Arial"/>
                <w:sz w:val="20"/>
                <w:szCs w:val="20"/>
                <w:u w:val="single" w:color="auto"/>
                <w:color w:val="3051F2"/>
                <w:w w:val="97"/>
              </w:rPr>
              <w:t>1</w:t>
            </w:r>
          </w:p>
        </w:tc>
        <w:tc>
          <w:tcPr>
            <w:tcW w:w="9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600" w:type="dxa"/>
            <w:vAlign w:val="bottom"/>
            <w:tcBorders>
              <w:top w:val="single" w:sz="8" w:color="auto"/>
              <w:bottom w:val="single" w:sz="8" w:color="3051F2"/>
            </w:tcBorders>
          </w:tcPr>
          <w:p>
            <w:pPr>
              <w:spacing w:after="0" w:line="196" w:lineRule="exact"/>
              <w:rPr>
                <w:sz w:val="20"/>
                <w:szCs w:val="20"/>
                <w:color w:val="auto"/>
              </w:rPr>
            </w:pPr>
            <w:r>
              <w:rPr>
                <w:rFonts w:ascii="Arial" w:cs="Arial" w:eastAsia="Arial" w:hAnsi="Arial"/>
                <w:sz w:val="20"/>
                <w:szCs w:val="20"/>
                <w:color w:val="3051F2"/>
                <w:w w:val="98"/>
              </w:rPr>
              <w:t>Guidance including the impact of acquired IPR&amp;D and milestones expense.</w:t>
            </w:r>
          </w:p>
        </w:tc>
        <w:tc>
          <w:tcPr>
            <w:tcW w:w="2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87"/>
        </w:trPr>
        <w:tc>
          <w:tcPr>
            <w:tcW w:w="42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20"/>
                <w:szCs w:val="20"/>
                <w:color w:val="auto"/>
                <w:w w:val="99"/>
              </w:rPr>
              <w:t>The cover page from this Current Report on Form 8-K formatted in Inline XBRL (included as Exhibit 101).</w:t>
            </w:r>
          </w:p>
        </w:tc>
      </w:tr>
      <w:tr>
        <w:trPr>
          <w:trHeight w:val="983"/>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45"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33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20"/>
                <w:szCs w:val="20"/>
                <w:b w:val="1"/>
                <w:bCs w:val="1"/>
                <w:color w:val="auto"/>
              </w:rPr>
              <w:t>ABBVIE INC.</w:t>
            </w:r>
          </w:p>
        </w:tc>
      </w:tr>
      <w:tr>
        <w:trPr>
          <w:trHeight w:val="505"/>
        </w:trPr>
        <w:tc>
          <w:tcPr>
            <w:tcW w:w="3360" w:type="dxa"/>
            <w:vAlign w:val="bottom"/>
          </w:tcPr>
          <w:p>
            <w:pPr>
              <w:spacing w:after="0"/>
              <w:rPr>
                <w:sz w:val="20"/>
                <w:szCs w:val="20"/>
                <w:color w:val="auto"/>
              </w:rPr>
            </w:pPr>
            <w:r>
              <w:rPr>
                <w:rFonts w:ascii="Arial" w:cs="Arial" w:eastAsia="Arial" w:hAnsi="Arial"/>
                <w:sz w:val="20"/>
                <w:szCs w:val="20"/>
                <w:color w:val="auto"/>
              </w:rPr>
              <w:t>Date:  April 3, 2026</w:t>
            </w:r>
          </w:p>
        </w:tc>
        <w:tc>
          <w:tcPr>
            <w:tcW w:w="7860" w:type="dxa"/>
            <w:vAlign w:val="bottom"/>
            <w:gridSpan w:val="2"/>
          </w:tcPr>
          <w:p>
            <w:pPr>
              <w:ind w:left="1620"/>
              <w:spacing w:after="0"/>
              <w:rPr>
                <w:sz w:val="20"/>
                <w:szCs w:val="20"/>
                <w:color w:val="auto"/>
              </w:rPr>
            </w:pPr>
            <w:r>
              <w:rPr>
                <w:rFonts w:ascii="Arial" w:cs="Arial" w:eastAsia="Arial" w:hAnsi="Arial"/>
                <w:sz w:val="20"/>
                <w:szCs w:val="20"/>
                <w:color w:val="auto"/>
              </w:rPr>
              <w:t>By:   /s/ Scott T. Reents</w:t>
            </w:r>
          </w:p>
        </w:tc>
      </w:tr>
      <w:tr>
        <w:trPr>
          <w:trHeight w:val="244"/>
        </w:trPr>
        <w:tc>
          <w:tcPr>
            <w:tcW w:w="33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T. Reents</w:t>
            </w:r>
          </w:p>
        </w:tc>
      </w:tr>
      <w:tr>
        <w:trPr>
          <w:trHeight w:val="257"/>
        </w:trPr>
        <w:tc>
          <w:tcPr>
            <w:tcW w:w="33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Executive Vice President,</w:t>
            </w:r>
          </w:p>
        </w:tc>
      </w:tr>
      <w:tr>
        <w:trPr>
          <w:trHeight w:val="261"/>
        </w:trPr>
        <w:tc>
          <w:tcPr>
            <w:tcW w:w="33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885"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20"/>
          <w:szCs w:val="20"/>
          <w:b w:val="1"/>
          <w:bCs w:val="1"/>
          <w:color w:val="auto"/>
        </w:rPr>
        <w:t>AbbVie Inc.</w:t>
      </w:r>
    </w:p>
    <w:p>
      <w:pPr>
        <w:spacing w:after="0" w:line="33"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auto"/>
        </w:rPr>
        <w:t>Guidance Including the Impact of Acquired IPR&amp;D and Milestones Expense</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8"/>
                <w:szCs w:val="18"/>
                <w:b w:val="1"/>
                <w:bCs w:val="1"/>
                <w:color w:val="auto"/>
                <w:w w:val="99"/>
              </w:rPr>
              <w:t>Quarter Ended March 31, 2026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Full-Year Ended December 31, 2026</w:t>
            </w: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99"/>
              </w:rPr>
              <w:t>Acquired</w:t>
            </w:r>
          </w:p>
        </w:tc>
        <w:tc>
          <w:tcPr>
            <w:tcW w:w="220" w:type="dxa"/>
            <w:vAlign w:val="bottom"/>
          </w:tcPr>
          <w:p>
            <w:pPr>
              <w:spacing w:after="0"/>
              <w:rPr>
                <w:sz w:val="20"/>
                <w:szCs w:val="20"/>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Adjusted Diluted EPS</w:t>
            </w:r>
          </w:p>
        </w:tc>
        <w:tc>
          <w:tcPr>
            <w:tcW w:w="12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99"/>
              </w:rPr>
              <w:t>Acquired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center"/>
              <w:ind w:right="131"/>
              <w:spacing w:after="0" w:line="181" w:lineRule="exact"/>
              <w:rPr>
                <w:sz w:val="20"/>
                <w:szCs w:val="20"/>
                <w:color w:val="auto"/>
              </w:rPr>
            </w:pPr>
            <w:r>
              <w:rPr>
                <w:rFonts w:ascii="Arial" w:cs="Arial" w:eastAsia="Arial" w:hAnsi="Arial"/>
                <w:sz w:val="18"/>
                <w:szCs w:val="18"/>
                <w:b w:val="1"/>
                <w:bCs w:val="1"/>
                <w:color w:val="auto"/>
                <w:w w:val="98"/>
              </w:rPr>
              <w:t>IPR&amp;D and</w:t>
            </w:r>
          </w:p>
        </w:tc>
        <w:tc>
          <w:tcPr>
            <w:tcW w:w="220" w:type="dxa"/>
            <w:vAlign w:val="bottom"/>
          </w:tcPr>
          <w:p>
            <w:pPr>
              <w:spacing w:after="0"/>
              <w:rPr>
                <w:sz w:val="8"/>
                <w:szCs w:val="8"/>
                <w:color w:val="auto"/>
              </w:rPr>
            </w:pPr>
          </w:p>
        </w:tc>
        <w:tc>
          <w:tcPr>
            <w:tcW w:w="23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center"/>
              <w:ind w:right="151"/>
              <w:spacing w:after="0" w:line="181" w:lineRule="exact"/>
              <w:rPr>
                <w:sz w:val="20"/>
                <w:szCs w:val="20"/>
                <w:color w:val="auto"/>
              </w:rPr>
            </w:pPr>
            <w:r>
              <w:rPr>
                <w:rFonts w:ascii="Arial" w:cs="Arial" w:eastAsia="Arial" w:hAnsi="Arial"/>
                <w:sz w:val="18"/>
                <w:szCs w:val="18"/>
                <w:b w:val="1"/>
                <w:bCs w:val="1"/>
                <w:color w:val="auto"/>
              </w:rPr>
              <w:t>IPR&amp;D and</w:t>
            </w: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Range</w:t>
            </w: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5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Adjusted Diluted EPS Range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31"/>
              <w:spacing w:after="0" w:line="149" w:lineRule="exact"/>
              <w:rPr>
                <w:sz w:val="20"/>
                <w:szCs w:val="20"/>
                <w:color w:val="auto"/>
              </w:rPr>
            </w:pPr>
            <w:r>
              <w:rPr>
                <w:rFonts w:ascii="Arial" w:cs="Arial" w:eastAsia="Arial" w:hAnsi="Arial"/>
                <w:sz w:val="17"/>
                <w:szCs w:val="17"/>
                <w:b w:val="1"/>
                <w:bCs w:val="1"/>
                <w:color w:val="auto"/>
              </w:rPr>
              <w:t>Milestones</w:t>
            </w: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51"/>
              <w:spacing w:after="0" w:line="149" w:lineRule="exact"/>
              <w:rPr>
                <w:sz w:val="20"/>
                <w:szCs w:val="20"/>
                <w:color w:val="auto"/>
              </w:rPr>
            </w:pPr>
            <w:r>
              <w:rPr>
                <w:rFonts w:ascii="Arial" w:cs="Arial" w:eastAsia="Arial" w:hAnsi="Arial"/>
                <w:sz w:val="17"/>
                <w:szCs w:val="17"/>
                <w:b w:val="1"/>
                <w:bCs w:val="1"/>
                <w:color w:val="auto"/>
              </w:rPr>
              <w:t>Milestones</w:t>
            </w:r>
          </w:p>
        </w:tc>
        <w:tc>
          <w:tcPr>
            <w:tcW w:w="254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Previously announced guidance</w:t>
            </w:r>
          </w:p>
        </w:tc>
        <w:tc>
          <w:tcPr>
            <w:tcW w:w="12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99"/>
              </w:rPr>
              <w:t>Expense</w:t>
            </w:r>
          </w:p>
        </w:tc>
        <w:tc>
          <w:tcPr>
            <w:tcW w:w="220" w:type="dxa"/>
            <w:vAlign w:val="bottom"/>
          </w:tcPr>
          <w:p>
            <w:pPr>
              <w:spacing w:after="0"/>
              <w:rPr>
                <w:sz w:val="20"/>
                <w:szCs w:val="20"/>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Low</w:t>
            </w:r>
          </w:p>
        </w:tc>
        <w:tc>
          <w:tcPr>
            <w:tcW w:w="3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99"/>
              </w:rPr>
              <w:t>Expense</w:t>
            </w: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164"/>
        </w:trPr>
        <w:tc>
          <w:tcPr>
            <w:tcW w:w="350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8"/>
                <w:szCs w:val="18"/>
                <w:b w:val="1"/>
                <w:bCs w:val="1"/>
                <w:color w:val="auto"/>
              </w:rPr>
              <w:t>excluding Q1 2026 acquired IPR&amp;D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left="310"/>
              <w:spacing w:after="0"/>
              <w:rPr>
                <w:sz w:val="20"/>
                <w:szCs w:val="20"/>
                <w:color w:val="auto"/>
              </w:rPr>
            </w:pPr>
            <w:r>
              <w:rPr>
                <w:rFonts w:ascii="Arial" w:cs="Arial" w:eastAsia="Arial" w:hAnsi="Arial"/>
                <w:sz w:val="18"/>
                <w:szCs w:val="18"/>
                <w:color w:val="auto"/>
                <w:w w:val="96"/>
              </w:rPr>
              <w:t>2.97</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ind w:left="270"/>
              <w:spacing w:after="0"/>
              <w:rPr>
                <w:sz w:val="20"/>
                <w:szCs w:val="20"/>
                <w:color w:val="auto"/>
              </w:rPr>
            </w:pPr>
            <w:r>
              <w:rPr>
                <w:rFonts w:ascii="Arial" w:cs="Arial" w:eastAsia="Arial" w:hAnsi="Arial"/>
                <w:sz w:val="18"/>
                <w:szCs w:val="18"/>
                <w:color w:val="auto"/>
                <w:w w:val="96"/>
              </w:rPr>
              <w:t>3.01</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14.37</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b w:val="1"/>
                <w:bCs w:val="1"/>
                <w:color w:val="auto"/>
              </w:rPr>
              <w:t>milestones expense</w:t>
            </w:r>
          </w:p>
        </w:tc>
        <w:tc>
          <w:tcPr>
            <w:tcW w:w="1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120"/>
              <w:spacing w:after="0" w:line="189" w:lineRule="exact"/>
              <w:rPr>
                <w:sz w:val="20"/>
                <w:szCs w:val="20"/>
                <w:color w:val="auto"/>
              </w:rPr>
            </w:pPr>
            <w:r>
              <w:rPr>
                <w:rFonts w:ascii="Arial" w:cs="Arial" w:eastAsia="Arial" w:hAnsi="Arial"/>
                <w:sz w:val="18"/>
                <w:szCs w:val="18"/>
                <w:color w:val="auto"/>
              </w:rPr>
              <w:t>Q1 2026 acquired IPR&amp;D and milestones</w:t>
            </w:r>
          </w:p>
        </w:tc>
        <w:tc>
          <w:tcPr>
            <w:tcW w:w="120" w:type="dxa"/>
            <w:vAlign w:val="bottom"/>
          </w:tcPr>
          <w:p>
            <w:pPr>
              <w:spacing w:after="0"/>
              <w:rPr>
                <w:sz w:val="16"/>
                <w:szCs w:val="16"/>
                <w:color w:val="auto"/>
              </w:rPr>
            </w:pP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6"/>
                <w:szCs w:val="16"/>
                <w:color w:val="auto"/>
              </w:rPr>
            </w:pPr>
          </w:p>
        </w:tc>
        <w:tc>
          <w:tcPr>
            <w:tcW w:w="1020" w:type="dxa"/>
            <w:vAlign w:val="bottom"/>
            <w:vMerge w:val="restart"/>
          </w:tcPr>
          <w:p>
            <w:pPr>
              <w:jc w:val="center"/>
              <w:ind w:left="290"/>
              <w:spacing w:after="0"/>
              <w:rPr>
                <w:sz w:val="20"/>
                <w:szCs w:val="20"/>
                <w:color w:val="auto"/>
              </w:rPr>
            </w:pPr>
            <w:r>
              <w:rPr>
                <w:rFonts w:ascii="Arial" w:cs="Arial" w:eastAsia="Arial" w:hAnsi="Arial"/>
                <w:sz w:val="18"/>
                <w:szCs w:val="18"/>
                <w:color w:val="auto"/>
              </w:rPr>
              <w:t>(0.41)</w:t>
            </w:r>
          </w:p>
        </w:tc>
        <w:tc>
          <w:tcPr>
            <w:tcW w:w="360" w:type="dxa"/>
            <w:vAlign w:val="bottom"/>
          </w:tcPr>
          <w:p>
            <w:pPr>
              <w:spacing w:after="0"/>
              <w:rPr>
                <w:sz w:val="16"/>
                <w:szCs w:val="16"/>
                <w:color w:val="auto"/>
              </w:rPr>
            </w:pPr>
          </w:p>
        </w:tc>
        <w:tc>
          <w:tcPr>
            <w:tcW w:w="860" w:type="dxa"/>
            <w:vAlign w:val="bottom"/>
            <w:vMerge w:val="restart"/>
          </w:tcPr>
          <w:p>
            <w:pPr>
              <w:jc w:val="center"/>
              <w:ind w:left="25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744</w:t>
            </w: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3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5"/>
        </w:trPr>
        <w:tc>
          <w:tcPr>
            <w:tcW w:w="3500" w:type="dxa"/>
            <w:vAlign w:val="bottom"/>
          </w:tcPr>
          <w:p>
            <w:pPr>
              <w:ind w:left="120"/>
              <w:spacing w:after="0"/>
              <w:rPr>
                <w:sz w:val="20"/>
                <w:szCs w:val="20"/>
                <w:color w:val="auto"/>
              </w:rPr>
            </w:pPr>
            <w:r>
              <w:rPr>
                <w:rFonts w:ascii="Arial" w:cs="Arial" w:eastAsia="Arial" w:hAnsi="Arial"/>
                <w:sz w:val="18"/>
                <w:szCs w:val="18"/>
                <w:color w:val="auto"/>
              </w:rPr>
              <w:t>expense</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line="159" w:lineRule="exact"/>
              <w:rPr>
                <w:sz w:val="20"/>
                <w:szCs w:val="20"/>
                <w:color w:val="auto"/>
              </w:rPr>
            </w:pPr>
            <w:r>
              <w:rPr>
                <w:rFonts w:ascii="Arial" w:cs="Arial" w:eastAsia="Arial" w:hAnsi="Arial"/>
                <w:sz w:val="18"/>
                <w:szCs w:val="18"/>
                <w:b w:val="1"/>
                <w:bCs w:val="1"/>
                <w:color w:val="auto"/>
              </w:rPr>
              <w:t>Guidance including Q1 2026 acquired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744</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left="310"/>
              <w:spacing w:after="0"/>
              <w:rPr>
                <w:sz w:val="20"/>
                <w:szCs w:val="20"/>
                <w:color w:val="auto"/>
              </w:rPr>
            </w:pPr>
            <w:r>
              <w:rPr>
                <w:rFonts w:ascii="Arial" w:cs="Arial" w:eastAsia="Arial" w:hAnsi="Arial"/>
                <w:sz w:val="18"/>
                <w:szCs w:val="18"/>
                <w:color w:val="auto"/>
                <w:w w:val="96"/>
              </w:rPr>
              <w:t>2.56</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ind w:left="270"/>
              <w:spacing w:after="0"/>
              <w:rPr>
                <w:sz w:val="20"/>
                <w:szCs w:val="20"/>
                <w:color w:val="auto"/>
              </w:rPr>
            </w:pPr>
            <w:r>
              <w:rPr>
                <w:rFonts w:ascii="Arial" w:cs="Arial" w:eastAsia="Arial" w:hAnsi="Arial"/>
                <w:sz w:val="18"/>
                <w:szCs w:val="18"/>
                <w:color w:val="auto"/>
                <w:w w:val="96"/>
              </w:rPr>
              <w:t>2.60</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744</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13.96</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7"/>
        </w:trPr>
        <w:tc>
          <w:tcPr>
            <w:tcW w:w="3500" w:type="dxa"/>
            <w:vAlign w:val="bottom"/>
          </w:tcPr>
          <w:p>
            <w:pPr>
              <w:spacing w:after="0" w:line="212" w:lineRule="exact"/>
              <w:rPr>
                <w:sz w:val="20"/>
                <w:szCs w:val="20"/>
                <w:color w:val="auto"/>
              </w:rPr>
            </w:pPr>
            <w:r>
              <w:rPr>
                <w:rFonts w:ascii="Arial" w:cs="Arial" w:eastAsia="Arial" w:hAnsi="Arial"/>
                <w:sz w:val="18"/>
                <w:szCs w:val="18"/>
                <w:b w:val="1"/>
                <w:bCs w:val="1"/>
                <w:color w:val="auto"/>
              </w:rPr>
              <w:t>IPR&amp;D and milestones expense</w:t>
            </w:r>
            <w:r>
              <w:rPr>
                <w:rFonts w:ascii="Arial" w:cs="Arial" w:eastAsia="Arial" w:hAnsi="Arial"/>
                <w:sz w:val="23"/>
                <w:szCs w:val="23"/>
                <w:b w:val="1"/>
                <w:bCs w:val="1"/>
                <w:color w:val="auto"/>
                <w:vertAlign w:val="superscript"/>
              </w:rPr>
              <w:t>a</w:t>
            </w:r>
          </w:p>
        </w:tc>
        <w:tc>
          <w:tcPr>
            <w:tcW w:w="1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80" w:right="340" w:hanging="172"/>
        <w:spacing w:after="0" w:line="231" w:lineRule="auto"/>
        <w:tabs>
          <w:tab w:leader="none" w:pos="174"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The Company's 2026 adjusted diluted EPS guidance excludes any impact from acquired IPR&amp;D and milestones expense that may be incurred beyond the first quarter of 2026, as both cannot be reliably forecasted.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sectPr>
      <w:pgSz w:w="11900" w:h="16838" w:orient="portrait"/>
      <w:cols w:equalWidth="0" w:num="1">
        <w:col w:w="11240"/>
      </w:cols>
      <w:pgMar w:left="320" w:top="8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2026-04-03T15:15:57Z</dcterms:created>
  <dcterms:modified xsi:type="dcterms:W3CDTF">2026-04-03T15:15:57Z</dcterms:modified>
</cp:coreProperties>
</file>