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6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60"/>
        <w:spacing w:after="0"/>
        <w:rPr>
          <w:sz w:val="20"/>
          <w:szCs w:val="20"/>
          <w:color w:val="auto"/>
        </w:rPr>
      </w:pPr>
      <w:r>
        <w:rPr>
          <w:rFonts w:ascii="Arial" w:cs="Arial" w:eastAsia="Arial" w:hAnsi="Arial"/>
          <w:sz w:val="18"/>
          <w:szCs w:val="18"/>
          <w:b w:val="1"/>
          <w:bCs w:val="1"/>
          <w:color w:val="auto"/>
        </w:rPr>
        <w:t>Washington, D.C. 20549</w:t>
      </w:r>
    </w:p>
    <w:p>
      <w:pPr>
        <w:spacing w:after="0" w:line="189" w:lineRule="exact"/>
        <w:rPr>
          <w:sz w:val="24"/>
          <w:szCs w:val="24"/>
          <w:color w:val="auto"/>
        </w:rPr>
      </w:pPr>
    </w:p>
    <w:p>
      <w:pPr>
        <w:jc w:val="center"/>
        <w:ind w:right="-460"/>
        <w:spacing w:after="0"/>
        <w:rPr>
          <w:sz w:val="20"/>
          <w:szCs w:val="20"/>
          <w:color w:val="auto"/>
        </w:rPr>
      </w:pPr>
      <w:r>
        <w:rPr>
          <w:rFonts w:ascii="Arial" w:cs="Arial" w:eastAsia="Arial" w:hAnsi="Arial"/>
          <w:sz w:val="23"/>
          <w:szCs w:val="23"/>
          <w:b w:val="1"/>
          <w:bCs w:val="1"/>
          <w:color w:val="auto"/>
        </w:rPr>
        <w:t>SCHEDULE 14A</w:t>
      </w:r>
    </w:p>
    <w:p>
      <w:pPr>
        <w:spacing w:after="0" w:line="253"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Proxy Statement Pursuant to Section 14(a) of</w:t>
      </w:r>
    </w:p>
    <w:p>
      <w:pPr>
        <w:jc w:val="center"/>
        <w:ind w:right="-460"/>
        <w:spacing w:after="0"/>
        <w:rPr>
          <w:sz w:val="20"/>
          <w:szCs w:val="20"/>
          <w:color w:val="auto"/>
        </w:rPr>
      </w:pPr>
      <w:r>
        <w:rPr>
          <w:rFonts w:ascii="Arial" w:cs="Arial" w:eastAsia="Arial" w:hAnsi="Arial"/>
          <w:sz w:val="18"/>
          <w:szCs w:val="18"/>
          <w:color w:val="auto"/>
        </w:rPr>
        <w:t>the Securities Exchange Act of 1934</w:t>
      </w:r>
    </w:p>
    <w:p>
      <w:pPr>
        <w:spacing w:after="0" w:line="17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Filed by the Registrant </w:t>
      </w:r>
      <w:r>
        <w:rPr>
          <w:rFonts w:ascii="Arial Unicode MS" w:cs="Arial Unicode MS" w:eastAsia="Arial Unicode MS" w:hAnsi="Arial Unicode MS"/>
          <w:sz w:val="18"/>
          <w:szCs w:val="18"/>
          <w:color w:val="auto"/>
        </w:rPr>
        <w:t>⌧</w:t>
      </w:r>
    </w:p>
    <w:p>
      <w:pPr>
        <w:spacing w:after="0" w:line="83"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Filed by a Party other than the Registrant </w:t>
      </w:r>
      <w:r>
        <w:rPr>
          <w:rFonts w:ascii="Arial Unicode MS" w:cs="Arial Unicode MS" w:eastAsia="Arial Unicode MS" w:hAnsi="Arial Unicode MS"/>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0" w:lineRule="exact"/>
        <w:rPr>
          <w:rFonts w:ascii="Arial" w:cs="Arial" w:eastAsia="Arial" w:hAnsi="Arial"/>
          <w:sz w:val="18"/>
          <w:szCs w:val="18"/>
          <w:color w:val="auto"/>
        </w:rPr>
      </w:pPr>
    </w:p>
    <w:p>
      <w:pPr>
        <w:ind w:left="500" w:hanging="492"/>
        <w:spacing w:after="0" w:line="235"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Definitive Proxy Statement</w:t>
      </w:r>
    </w:p>
    <w:p>
      <w:pPr>
        <w:spacing w:after="0" w:line="15" w:lineRule="exact"/>
        <w:rPr>
          <w:rFonts w:ascii="Arial" w:cs="Arial" w:eastAsia="Arial" w:hAnsi="Arial"/>
          <w:sz w:val="18"/>
          <w:szCs w:val="18"/>
          <w:color w:val="auto"/>
        </w:rPr>
      </w:pPr>
    </w:p>
    <w:p>
      <w:pPr>
        <w:ind w:left="500" w:hanging="492"/>
        <w:spacing w:after="0" w:line="235"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 w:lineRule="exact"/>
        <w:rPr>
          <w:rFonts w:ascii="Arial" w:cs="Arial" w:eastAsia="Arial" w:hAnsi="Arial"/>
          <w:sz w:val="18"/>
          <w:szCs w:val="18"/>
          <w:color w:val="auto"/>
        </w:rPr>
      </w:pPr>
    </w:p>
    <w:p>
      <w:pPr>
        <w:ind w:left="500" w:hanging="492"/>
        <w:spacing w:after="0" w:line="235"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34"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540" w:hanging="532"/>
        <w:spacing w:after="0" w:line="22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ind w:left="540" w:hanging="532"/>
        <w:spacing w:after="0" w:line="22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5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651510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79" w:right="1440"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6"/>
          <w:szCs w:val="36"/>
          <w:b w:val="1"/>
          <w:bCs w:val="1"/>
          <w:color w:val="808080"/>
        </w:rPr>
        <w:t xml:space="preserve">Notice of </w:t>
      </w:r>
      <w:r>
        <w:rPr>
          <w:rFonts w:ascii="Arial" w:cs="Arial" w:eastAsia="Arial" w:hAnsi="Arial"/>
          <w:sz w:val="39"/>
          <w:szCs w:val="39"/>
          <w:b w:val="1"/>
          <w:bCs w:val="1"/>
          <w:color w:val="071D49"/>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-33655</wp:posOffset>
            </wp:positionV>
            <wp:extent cx="210883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3771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36"/>
          <w:szCs w:val="36"/>
          <w:b w:val="1"/>
          <w:bCs w:val="1"/>
          <w:color w:val="808080"/>
        </w:rPr>
        <w:t>Annual Meeting</w:t>
      </w:r>
    </w:p>
    <w:p>
      <w:pPr>
        <w:spacing w:after="0" w:line="5" w:lineRule="exact"/>
        <w:rPr>
          <w:sz w:val="20"/>
          <w:szCs w:val="20"/>
          <w:color w:val="auto"/>
        </w:rPr>
      </w:pPr>
    </w:p>
    <w:p>
      <w:pPr>
        <w:spacing w:after="0"/>
        <w:rPr>
          <w:sz w:val="20"/>
          <w:szCs w:val="20"/>
          <w:color w:val="auto"/>
        </w:rPr>
      </w:pPr>
      <w:r>
        <w:rPr>
          <w:rFonts w:ascii="Arial" w:cs="Arial" w:eastAsia="Arial" w:hAnsi="Arial"/>
          <w:sz w:val="36"/>
          <w:szCs w:val="36"/>
          <w:b w:val="1"/>
          <w:bCs w:val="1"/>
          <w:color w:val="808080"/>
        </w:rPr>
        <w:t>of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our company:</w:t>
      </w:r>
    </w:p>
    <w:p>
      <w:pPr>
        <w:spacing w:after="0" w:line="16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You are cordially invited to attend the 2022 Annual Meeting of Stockholders to be held on May 6, 2022, where we will be voting on the below matters. You will be able to attend the Annual Meeting, vote, and submit questions via live webcast by visiting </w:t>
      </w:r>
      <w:r>
        <w:rPr>
          <w:rFonts w:ascii="Arial" w:cs="Arial" w:eastAsia="Arial" w:hAnsi="Arial"/>
          <w:sz w:val="18"/>
          <w:szCs w:val="18"/>
          <w:b w:val="1"/>
          <w:bCs w:val="1"/>
          <w:color w:val="071D49"/>
        </w:rPr>
        <w:t>www.virtualshareholdermeeting.com/ABBV2022</w:t>
      </w:r>
      <w:r>
        <w:rPr>
          <w:rFonts w:ascii="Arial" w:cs="Arial" w:eastAsia="Arial" w:hAnsi="Arial"/>
          <w:sz w:val="18"/>
          <w:szCs w:val="18"/>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ectPr>
          <w:pgSz w:w="11900" w:h="16838" w:orient="portrait"/>
          <w:cols w:equalWidth="0" w:num="1">
            <w:col w:w="9920"/>
          </w:cols>
          <w:pgMar w:left="980" w:top="530" w:right="999" w:bottom="1440" w:gutter="0" w:footer="0" w:header="0"/>
        </w:sectPr>
      </w:pPr>
    </w:p>
    <w:p>
      <w:pPr>
        <w:spacing w:after="0" w:line="109" w:lineRule="exact"/>
        <w:rPr>
          <w:sz w:val="20"/>
          <w:szCs w:val="20"/>
          <w:color w:val="auto"/>
        </w:rPr>
      </w:pPr>
    </w:p>
    <w:p>
      <w:pPr>
        <w:ind w:left="340"/>
        <w:spacing w:after="0"/>
        <w:rPr>
          <w:sz w:val="20"/>
          <w:szCs w:val="20"/>
          <w:color w:val="auto"/>
        </w:rPr>
      </w:pPr>
      <w:r>
        <w:rPr>
          <w:rFonts w:ascii="Arial" w:cs="Arial" w:eastAsia="Arial" w:hAnsi="Arial"/>
          <w:sz w:val="23"/>
          <w:szCs w:val="23"/>
          <w:color w:val="071D49"/>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23"/>
          <w:szCs w:val="23"/>
          <w:color w:val="071D49"/>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23"/>
          <w:szCs w:val="23"/>
          <w:color w:val="071D49"/>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23"/>
          <w:szCs w:val="23"/>
          <w:color w:val="071D49"/>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elect four directors to hold office until the 2025 Annual Meeting or until their successors are elected.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ratify the appointment of Ernst &amp; Young LLP as AbbVie’s independent registered public accounting firm for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vote on an advisory basis on the approval of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vote on a management proposal to eliminate supermajority voting.</w:t>
      </w:r>
    </w:p>
    <w:p>
      <w:pPr>
        <w:spacing w:after="0" w:line="130" w:lineRule="exact"/>
        <w:rPr>
          <w:sz w:val="20"/>
          <w:szCs w:val="20"/>
          <w:color w:val="auto"/>
        </w:rPr>
      </w:pPr>
    </w:p>
    <w:p>
      <w:pPr>
        <w:sectPr>
          <w:pgSz w:w="11900" w:h="16838" w:orient="portrait"/>
          <w:cols w:equalWidth="0" w:num="2">
            <w:col w:w="480" w:space="180"/>
            <w:col w:w="9260"/>
          </w:cols>
          <w:pgMar w:left="980" w:top="530" w:right="999" w:bottom="1440" w:gutter="0" w:footer="0" w:header="0"/>
          <w:type w:val="continuous"/>
        </w:sectPr>
      </w:pPr>
    </w:p>
    <w:p>
      <w:pPr>
        <w:ind w:left="660" w:right="260" w:hanging="328"/>
        <w:spacing w:after="0" w:line="182" w:lineRule="auto"/>
        <w:tabs>
          <w:tab w:leader="none" w:pos="660" w:val="left"/>
        </w:tabs>
        <w:numPr>
          <w:ilvl w:val="0"/>
          <w:numId w:val="4"/>
        </w:numPr>
        <w:rPr>
          <w:rFonts w:ascii="Arial" w:cs="Arial" w:eastAsia="Arial" w:hAnsi="Arial"/>
          <w:sz w:val="33"/>
          <w:szCs w:val="33"/>
          <w:color w:val="071D49"/>
          <w:vertAlign w:val="subscript"/>
        </w:rPr>
      </w:pPr>
      <w:r>
        <w:rPr>
          <w:rFonts w:ascii="Arial" w:cs="Arial" w:eastAsia="Arial" w:hAnsi="Arial"/>
          <w:sz w:val="15"/>
          <w:szCs w:val="15"/>
          <w:color w:val="auto"/>
        </w:rPr>
        <w:t>To consider any other matters that may properly come before the meeting, including four stockholder proposals, if presented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6300470" cy="4063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4063365"/>
                    </a:xfrm>
                    <a:prstGeom prst="rect">
                      <a:avLst/>
                    </a:prstGeom>
                    <a:noFill/>
                  </pic:spPr>
                </pic:pic>
              </a:graphicData>
            </a:graphic>
          </wp:anchor>
        </w:drawing>
      </w:r>
    </w:p>
    <w:p>
      <w:pPr>
        <w:sectPr>
          <w:pgSz w:w="11900" w:h="16838" w:orient="portrait"/>
          <w:cols w:equalWidth="0" w:num="1">
            <w:col w:w="9920"/>
          </w:cols>
          <w:pgMar w:left="980" w:top="530" w:right="99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Your vote is important.</w:t>
      </w:r>
    </w:p>
    <w:p>
      <w:pPr>
        <w:spacing w:after="0" w:line="1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Please vote promptly using one of the methods mentioned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462915"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000000"/>
                        </a:clrFrom>
                        <a:clrTo>
                          <a:srgbClr val="000000">
                            <a:alpha val="0"/>
                          </a:srgbClr>
                        </a:clrTo>
                      </a:clrChange>
                      <a:extLst>
                        <a:ext uri="{28A0092B-C50C-407E-A947-70E740481C1C}"/>
                      </a:extLst>
                    </a:blip>
                    <a:srcRect/>
                    <a:stretch>
                      <a:fillRect/>
                    </a:stretch>
                  </pic:blipFill>
                  <pic:spPr bwMode="auto">
                    <a:xfrm>
                      <a:off x="0" y="0"/>
                      <a:ext cx="462915" cy="3340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60960</wp:posOffset>
            </wp:positionV>
            <wp:extent cx="462915"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6291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Visit www.proxyvote.com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51435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000000"/>
                        </a:clrFrom>
                        <a:clrTo>
                          <a:srgbClr val="000000">
                            <a:alpha val="0"/>
                          </a:srgbClr>
                        </a:clrTo>
                      </a:clrChange>
                      <a:extLst>
                        <a:ext uri="{28A0092B-C50C-407E-A947-70E740481C1C}"/>
                      </a:extLst>
                    </a:blip>
                    <a:srcRect/>
                    <a:stretch>
                      <a:fillRect/>
                    </a:stretch>
                  </pic:blipFill>
                  <pic:spPr bwMode="auto">
                    <a:xfrm>
                      <a:off x="0" y="0"/>
                      <a:ext cx="514350" cy="325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51435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143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w:t>
      </w:r>
    </w:p>
    <w:p>
      <w:pPr>
        <w:spacing w:after="0" w:line="23"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Sign and return your proxy card in the enclosed envelope if you received a printed version of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26543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265430" cy="4368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wp:posOffset>
            </wp:positionV>
            <wp:extent cx="26543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6543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2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Call toll-free 1-800-690-6903 in the U.S.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48831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488315" cy="3860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4883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883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virtual meeting</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To be admitted to the virtual meeting, you must enter the control number found on your proxy card, voting instructions form, or notice you received.</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Annual Meeting of Stockholders of AbbVie Inc. (the “Annual Meeting”) will be held on Friday, May 6, 2022 at 9:00 a.m. CT. This year’s Annual Meeting will be a virtual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223520</wp:posOffset>
            </wp:positionV>
            <wp:extent cx="43751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437515" cy="49720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223520</wp:posOffset>
            </wp:positionV>
            <wp:extent cx="43751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37515" cy="497205"/>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223520</wp:posOffset>
            </wp:positionV>
            <wp:extent cx="42862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428625" cy="488950"/>
                    </a:xfrm>
                    <a:prstGeom prst="rect">
                      <a:avLst/>
                    </a:prstGeom>
                    <a:noFill/>
                  </pic:spPr>
                </pic:pic>
              </a:graphicData>
            </a:graphic>
          </wp:anchor>
        </w:drawing>
        <w:drawing>
          <wp:anchor simplePos="0" relativeHeight="251657728" behindDoc="1" locked="0" layoutInCell="0" allowOverlap="1">
            <wp:simplePos x="0" y="0"/>
            <wp:positionH relativeFrom="column">
              <wp:posOffset>2030730</wp:posOffset>
            </wp:positionH>
            <wp:positionV relativeFrom="paragraph">
              <wp:posOffset>223520</wp:posOffset>
            </wp:positionV>
            <wp:extent cx="42862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28625" cy="4889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214630</wp:posOffset>
            </wp:positionV>
            <wp:extent cx="539750" cy="505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000000"/>
                        </a:clrFrom>
                        <a:clrTo>
                          <a:srgbClr val="000000">
                            <a:alpha val="0"/>
                          </a:srgbClr>
                        </a:clrTo>
                      </a:clrChange>
                      <a:extLst>
                        <a:ext uri="{28A0092B-C50C-407E-A947-70E740481C1C}"/>
                      </a:extLst>
                    </a:blip>
                    <a:srcRect/>
                    <a:stretch>
                      <a:fillRect/>
                    </a:stretch>
                  </pic:blipFill>
                  <pic:spPr bwMode="auto">
                    <a:xfrm>
                      <a:off x="0" y="0"/>
                      <a:ext cx="539750" cy="50546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214630</wp:posOffset>
            </wp:positionV>
            <wp:extent cx="539750" cy="505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975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1680" w:type="dxa"/>
            <w:vAlign w:val="bottom"/>
          </w:tcPr>
          <w:p>
            <w:pPr>
              <w:jc w:val="center"/>
              <w:ind w:right="142"/>
              <w:spacing w:after="0"/>
              <w:rPr>
                <w:sz w:val="20"/>
                <w:szCs w:val="20"/>
                <w:color w:val="auto"/>
              </w:rPr>
            </w:pPr>
            <w:r>
              <w:rPr>
                <w:rFonts w:ascii="Arial" w:cs="Arial" w:eastAsia="Arial" w:hAnsi="Arial"/>
                <w:sz w:val="18"/>
                <w:szCs w:val="18"/>
                <w:b w:val="1"/>
                <w:bCs w:val="1"/>
                <w:color w:val="auto"/>
                <w:w w:val="99"/>
              </w:rPr>
              <w:t>DATE AND TIME:</w:t>
            </w:r>
          </w:p>
        </w:tc>
        <w:tc>
          <w:tcPr>
            <w:tcW w:w="3440" w:type="dxa"/>
            <w:vAlign w:val="bottom"/>
          </w:tcPr>
          <w:p>
            <w:pPr>
              <w:jc w:val="center"/>
              <w:ind w:left="22"/>
              <w:spacing w:after="0"/>
              <w:rPr>
                <w:sz w:val="20"/>
                <w:szCs w:val="20"/>
                <w:color w:val="auto"/>
              </w:rPr>
            </w:pPr>
            <w:r>
              <w:rPr>
                <w:rFonts w:ascii="Arial" w:cs="Arial" w:eastAsia="Arial" w:hAnsi="Arial"/>
                <w:sz w:val="18"/>
                <w:szCs w:val="18"/>
                <w:b w:val="1"/>
                <w:bCs w:val="1"/>
                <w:color w:val="auto"/>
              </w:rPr>
              <w:t>WHERE:</w:t>
            </w:r>
          </w:p>
        </w:tc>
        <w:tc>
          <w:tcPr>
            <w:tcW w:w="1280" w:type="dxa"/>
            <w:vAlign w:val="bottom"/>
            <w:vMerge w:val="restart"/>
          </w:tcPr>
          <w:p>
            <w:pPr>
              <w:jc w:val="center"/>
              <w:ind w:left="46"/>
              <w:spacing w:after="0"/>
              <w:rPr>
                <w:sz w:val="20"/>
                <w:szCs w:val="20"/>
                <w:color w:val="auto"/>
              </w:rPr>
            </w:pPr>
            <w:r>
              <w:rPr>
                <w:rFonts w:ascii="Arial" w:cs="Arial" w:eastAsia="Arial" w:hAnsi="Arial"/>
                <w:sz w:val="18"/>
                <w:szCs w:val="18"/>
                <w:b w:val="1"/>
                <w:bCs w:val="1"/>
                <w:color w:val="auto"/>
                <w:w w:val="99"/>
              </w:rPr>
              <w:t>ADMISSION:</w:t>
            </w:r>
          </w:p>
        </w:tc>
        <w:tc>
          <w:tcPr>
            <w:tcW w:w="0" w:type="dxa"/>
            <w:vAlign w:val="bottom"/>
          </w:tcPr>
          <w:p>
            <w:pPr>
              <w:spacing w:after="0"/>
              <w:rPr>
                <w:sz w:val="1"/>
                <w:szCs w:val="1"/>
                <w:color w:val="auto"/>
              </w:rPr>
            </w:pPr>
          </w:p>
        </w:tc>
      </w:tr>
      <w:tr>
        <w:trPr>
          <w:trHeight w:val="207"/>
        </w:trPr>
        <w:tc>
          <w:tcPr>
            <w:tcW w:w="1680" w:type="dxa"/>
            <w:vAlign w:val="bottom"/>
          </w:tcPr>
          <w:p>
            <w:pPr>
              <w:jc w:val="center"/>
              <w:ind w:right="142"/>
              <w:spacing w:after="0"/>
              <w:rPr>
                <w:sz w:val="20"/>
                <w:szCs w:val="20"/>
                <w:color w:val="auto"/>
              </w:rPr>
            </w:pPr>
            <w:r>
              <w:rPr>
                <w:rFonts w:ascii="Arial" w:cs="Arial" w:eastAsia="Arial" w:hAnsi="Arial"/>
                <w:sz w:val="14"/>
                <w:szCs w:val="14"/>
                <w:color w:val="auto"/>
              </w:rPr>
              <w:t>Friday, May 6, 2022</w:t>
            </w:r>
          </w:p>
        </w:tc>
        <w:tc>
          <w:tcPr>
            <w:tcW w:w="3440" w:type="dxa"/>
            <w:vAlign w:val="bottom"/>
          </w:tcPr>
          <w:p>
            <w:pPr>
              <w:jc w:val="center"/>
              <w:ind w:left="22"/>
              <w:spacing w:after="0"/>
              <w:rPr>
                <w:sz w:val="20"/>
                <w:szCs w:val="20"/>
                <w:color w:val="auto"/>
              </w:rPr>
            </w:pPr>
            <w:r>
              <w:rPr>
                <w:rFonts w:ascii="Arial" w:cs="Arial" w:eastAsia="Arial" w:hAnsi="Arial"/>
                <w:sz w:val="14"/>
                <w:szCs w:val="14"/>
                <w:color w:val="auto"/>
              </w:rPr>
              <w:t>Via live webcast online at</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80" w:type="dxa"/>
            <w:vAlign w:val="bottom"/>
          </w:tcPr>
          <w:p>
            <w:pPr>
              <w:jc w:val="center"/>
              <w:ind w:right="142"/>
              <w:spacing w:after="0"/>
              <w:rPr>
                <w:sz w:val="20"/>
                <w:szCs w:val="20"/>
                <w:color w:val="auto"/>
              </w:rPr>
            </w:pPr>
            <w:r>
              <w:rPr>
                <w:rFonts w:ascii="Arial" w:cs="Arial" w:eastAsia="Arial" w:hAnsi="Arial"/>
                <w:sz w:val="14"/>
                <w:szCs w:val="14"/>
                <w:color w:val="auto"/>
              </w:rPr>
              <w:t>9:00 a.m. CT</w:t>
            </w:r>
          </w:p>
        </w:tc>
        <w:tc>
          <w:tcPr>
            <w:tcW w:w="3440" w:type="dxa"/>
            <w:vAlign w:val="bottom"/>
          </w:tcPr>
          <w:p>
            <w:pPr>
              <w:jc w:val="center"/>
              <w:ind w:left="22"/>
              <w:spacing w:after="0"/>
              <w:rPr>
                <w:sz w:val="20"/>
                <w:szCs w:val="20"/>
                <w:color w:val="auto"/>
              </w:rPr>
            </w:pPr>
            <w:r>
              <w:rPr>
                <w:rFonts w:ascii="Arial" w:cs="Arial" w:eastAsia="Arial" w:hAnsi="Arial"/>
                <w:sz w:val="14"/>
                <w:szCs w:val="14"/>
                <w:color w:val="auto"/>
              </w:rPr>
              <w:t>www.virtualshareholdermeeting.com/ABBV2022.</w:t>
            </w:r>
          </w:p>
        </w:tc>
        <w:tc>
          <w:tcPr>
            <w:tcW w:w="1280" w:type="dxa"/>
            <w:vAlign w:val="bottom"/>
          </w:tcPr>
          <w:p>
            <w:pPr>
              <w:jc w:val="center"/>
              <w:ind w:left="46"/>
              <w:spacing w:after="0"/>
              <w:rPr>
                <w:sz w:val="20"/>
                <w:szCs w:val="20"/>
                <w:color w:val="auto"/>
              </w:rPr>
            </w:pPr>
            <w:r>
              <w:rPr>
                <w:rFonts w:ascii="Arial" w:cs="Arial" w:eastAsia="Arial" w:hAnsi="Arial"/>
                <w:sz w:val="14"/>
                <w:szCs w:val="14"/>
                <w:color w:val="auto"/>
              </w:rPr>
              <w:t>Stockholders of</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Arial" w:cs="Arial" w:eastAsia="Arial" w:hAnsi="Arial"/>
                <w:sz w:val="14"/>
                <w:szCs w:val="14"/>
                <w:color w:val="auto"/>
              </w:rPr>
              <w:t>record at the</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66"/>
              <w:spacing w:after="0"/>
              <w:rPr>
                <w:sz w:val="20"/>
                <w:szCs w:val="20"/>
                <w:color w:val="auto"/>
              </w:rPr>
            </w:pPr>
            <w:r>
              <w:rPr>
                <w:rFonts w:ascii="Arial" w:cs="Arial" w:eastAsia="Arial" w:hAnsi="Arial"/>
                <w:sz w:val="14"/>
                <w:szCs w:val="14"/>
                <w:color w:val="auto"/>
              </w:rPr>
              <w:t>close of business</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Arial" w:cs="Arial" w:eastAsia="Arial" w:hAnsi="Arial"/>
                <w:sz w:val="14"/>
                <w:szCs w:val="14"/>
                <w:color w:val="auto"/>
              </w:rPr>
              <w:t>on March 7, 2022</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Arial" w:cs="Arial" w:eastAsia="Arial" w:hAnsi="Arial"/>
                <w:sz w:val="14"/>
                <w:szCs w:val="14"/>
                <w:color w:val="auto"/>
              </w:rPr>
              <w:t>are entitled to</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66"/>
              <w:spacing w:after="0"/>
              <w:rPr>
                <w:sz w:val="20"/>
                <w:szCs w:val="20"/>
                <w:color w:val="auto"/>
              </w:rPr>
            </w:pPr>
            <w:r>
              <w:rPr>
                <w:rFonts w:ascii="Arial" w:cs="Arial" w:eastAsia="Arial" w:hAnsi="Arial"/>
                <w:sz w:val="14"/>
                <w:szCs w:val="14"/>
                <w:color w:val="auto"/>
              </w:rPr>
              <w:t>notice of and to</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66"/>
              <w:spacing w:after="0"/>
              <w:rPr>
                <w:sz w:val="20"/>
                <w:szCs w:val="20"/>
                <w:color w:val="auto"/>
              </w:rPr>
            </w:pPr>
            <w:r>
              <w:rPr>
                <w:rFonts w:ascii="Arial" w:cs="Arial" w:eastAsia="Arial" w:hAnsi="Arial"/>
                <w:sz w:val="14"/>
                <w:szCs w:val="14"/>
                <w:color w:val="auto"/>
              </w:rPr>
              <w:t>vote at the annual</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jc w:val="center"/>
              <w:ind w:left="46"/>
              <w:spacing w:after="0"/>
              <w:rPr>
                <w:sz w:val="20"/>
                <w:szCs w:val="20"/>
                <w:color w:val="auto"/>
              </w:rPr>
            </w:pPr>
            <w:r>
              <w:rPr>
                <w:rFonts w:ascii="Arial" w:cs="Arial" w:eastAsia="Arial" w:hAnsi="Arial"/>
                <w:sz w:val="14"/>
                <w:szCs w:val="14"/>
                <w:color w:val="auto"/>
              </w:rPr>
              <w:t>meeting.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and interest in the company.</w:t>
      </w:r>
    </w:p>
    <w:p>
      <w:pPr>
        <w:spacing w:after="0" w:line="21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Laura J. Schumacher</w:t>
      </w:r>
    </w:p>
    <w:p>
      <w:pPr>
        <w:spacing w:after="0" w:line="14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Secretary</w:t>
      </w:r>
    </w:p>
    <w:p>
      <w:pPr>
        <w:ind w:left="3540"/>
        <w:spacing w:after="0"/>
        <w:rPr>
          <w:sz w:val="20"/>
          <w:szCs w:val="20"/>
          <w:color w:val="auto"/>
        </w:rPr>
      </w:pPr>
      <w:r>
        <w:rPr>
          <w:rFonts w:ascii="Arial" w:cs="Arial" w:eastAsia="Arial" w:hAnsi="Arial"/>
          <w:sz w:val="18"/>
          <w:szCs w:val="18"/>
          <w:color w:val="auto"/>
        </w:rPr>
        <w:t>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434975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2">
            <w:col w:w="2880" w:space="560"/>
            <w:col w:w="6480"/>
          </w:cols>
          <w:pgMar w:left="980" w:top="530" w:right="99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3100"/>
        <w:spacing w:after="0"/>
        <w:rPr>
          <w:sz w:val="20"/>
          <w:szCs w:val="20"/>
          <w:color w:val="auto"/>
        </w:rPr>
      </w:pPr>
      <w:r>
        <w:rPr>
          <w:rFonts w:ascii="Arial" w:cs="Arial" w:eastAsia="Arial" w:hAnsi="Arial"/>
          <w:sz w:val="10"/>
          <w:szCs w:val="10"/>
          <w:color w:val="0563C1"/>
        </w:rPr>
        <w:t>\</w:t>
      </w:r>
      <w:r>
        <w:rPr>
          <w:sz w:val="1"/>
          <w:szCs w:val="1"/>
          <w:color w:val="auto"/>
        </w:rPr>
        <w:drawing>
          <wp:inline distT="0" distB="0" distL="0" distR="0">
            <wp:extent cx="1885950" cy="3600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360045"/>
                    </a:xfrm>
                    <a:prstGeom prst="rect">
                      <a:avLst/>
                    </a:prstGeom>
                    <a:noFill/>
                    <a:ln>
                      <a:noFill/>
                    </a:ln>
                  </pic:spPr>
                </pic:pic>
              </a:graphicData>
            </a:graphic>
          </wp:inline>
        </w:drawing>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color w:val="071D4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880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1"/>
          </w:tcPr>
          <w:p>
            <w:pPr>
              <w:spacing w:after="0"/>
              <w:rPr>
                <w:rFonts w:ascii="Arial" w:cs="Arial" w:eastAsia="Arial" w:hAnsi="Arial"/>
                <w:sz w:val="18"/>
                <w:szCs w:val="18"/>
                <w:b w:val="1"/>
                <w:bCs w:val="1"/>
                <w:color w:val="071D49"/>
              </w:rPr>
            </w:pPr>
            <w:hyperlink w:anchor="page4">
              <w:r>
                <w:rPr>
                  <w:rFonts w:ascii="Arial" w:cs="Arial" w:eastAsia="Arial" w:hAnsi="Arial"/>
                  <w:sz w:val="18"/>
                  <w:szCs w:val="18"/>
                  <w:b w:val="1"/>
                  <w:bCs w:val="1"/>
                  <w:color w:val="071D49"/>
                </w:rPr>
                <w:t>PROXY SUMMARY</w:t>
              </w:r>
            </w:hyperlink>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071D49"/>
              </w:rPr>
              <w:t>1</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3620" w:type="dxa"/>
            <w:vAlign w:val="bottom"/>
            <w:gridSpan w:val="30"/>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About the Meeting</w:t>
              </w:r>
            </w:hyperlink>
          </w:p>
        </w:tc>
        <w:tc>
          <w:tcPr>
            <w:tcW w:w="36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4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Who We Are</w:t>
              </w:r>
            </w:hyperlink>
          </w:p>
        </w:tc>
        <w:tc>
          <w:tcPr>
            <w:tcW w:w="2160" w:type="dxa"/>
            <w:vAlign w:val="bottom"/>
            <w:gridSpan w:val="22"/>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Our Business Performance</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18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Our Governance Highlights</w:t>
              </w:r>
            </w:hyperlink>
          </w:p>
        </w:tc>
        <w:tc>
          <w:tcPr>
            <w:tcW w:w="1440" w:type="dxa"/>
            <w:vAlign w:val="bottom"/>
            <w:gridSpan w:val="16"/>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Our ESG Highlights</w:t>
              </w:r>
            </w:hyperlink>
          </w:p>
        </w:tc>
        <w:tc>
          <w:tcPr>
            <w:tcW w:w="2040" w:type="dxa"/>
            <w:vAlign w:val="bottom"/>
            <w:gridSpan w:val="21"/>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Executive Compensation Highlights</w:t>
              </w:r>
            </w:hyperlink>
          </w:p>
        </w:tc>
        <w:tc>
          <w:tcPr>
            <w:tcW w:w="780" w:type="dxa"/>
            <w:vAlign w:val="bottom"/>
            <w:gridSpan w:val="10"/>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85"/>
        </w:trPr>
        <w:tc>
          <w:tcPr>
            <w:tcW w:w="3940" w:type="dxa"/>
            <w:vAlign w:val="bottom"/>
            <w:gridSpan w:val="31"/>
          </w:tcPr>
          <w:p>
            <w:pPr>
              <w:spacing w:after="0"/>
              <w:rPr>
                <w:rFonts w:ascii="Arial" w:cs="Arial" w:eastAsia="Arial" w:hAnsi="Arial"/>
                <w:sz w:val="18"/>
                <w:szCs w:val="18"/>
                <w:b w:val="1"/>
                <w:bCs w:val="1"/>
                <w:color w:val="071D49"/>
              </w:rPr>
            </w:pPr>
            <w:hyperlink w:anchor="page16">
              <w:r>
                <w:rPr>
                  <w:rFonts w:ascii="Arial" w:cs="Arial" w:eastAsia="Arial" w:hAnsi="Arial"/>
                  <w:sz w:val="18"/>
                  <w:szCs w:val="18"/>
                  <w:b w:val="1"/>
                  <w:bCs w:val="1"/>
                  <w:color w:val="071D49"/>
                </w:rPr>
                <w:t>INFORMATION CONCERNING DIRECTOR</w:t>
              </w:r>
            </w:hyperlink>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71D49"/>
              </w:rPr>
              <w:t>13</w:t>
            </w:r>
          </w:p>
        </w:tc>
        <w:tc>
          <w:tcPr>
            <w:tcW w:w="0" w:type="dxa"/>
            <w:vAlign w:val="bottom"/>
          </w:tcPr>
          <w:p>
            <w:pPr>
              <w:spacing w:after="0"/>
              <w:rPr>
                <w:sz w:val="1"/>
                <w:szCs w:val="1"/>
                <w:color w:val="auto"/>
              </w:rPr>
            </w:pPr>
          </w:p>
        </w:tc>
      </w:tr>
      <w:tr>
        <w:trPr>
          <w:trHeight w:val="183"/>
        </w:trPr>
        <w:tc>
          <w:tcPr>
            <w:tcW w:w="3540" w:type="dxa"/>
            <w:vAlign w:val="bottom"/>
            <w:tcBorders>
              <w:top w:val="single" w:sz="8" w:color="071D49"/>
            </w:tcBorders>
            <w:gridSpan w:val="27"/>
          </w:tcPr>
          <w:p>
            <w:pPr>
              <w:spacing w:after="0" w:line="182" w:lineRule="exact"/>
              <w:rPr>
                <w:rFonts w:ascii="Arial" w:cs="Arial" w:eastAsia="Arial" w:hAnsi="Arial"/>
                <w:sz w:val="18"/>
                <w:szCs w:val="18"/>
                <w:b w:val="1"/>
                <w:bCs w:val="1"/>
                <w:color w:val="071D49"/>
              </w:rPr>
            </w:pPr>
            <w:hyperlink w:anchor="page16">
              <w:r>
                <w:rPr>
                  <w:rFonts w:ascii="Arial" w:cs="Arial" w:eastAsia="Arial" w:hAnsi="Arial"/>
                  <w:sz w:val="18"/>
                  <w:szCs w:val="18"/>
                  <w:b w:val="1"/>
                  <w:bCs w:val="1"/>
                  <w:color w:val="071D49"/>
                </w:rPr>
                <w:t>NOMINEES</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1"/>
          </w:tcPr>
          <w:p>
            <w:pPr>
              <w:spacing w:after="0"/>
              <w:rPr>
                <w:rFonts w:ascii="Arial" w:cs="Arial" w:eastAsia="Arial" w:hAnsi="Arial"/>
                <w:sz w:val="18"/>
                <w:szCs w:val="18"/>
                <w:b w:val="1"/>
                <w:bCs w:val="1"/>
                <w:color w:val="071D49"/>
              </w:rPr>
            </w:pPr>
            <w:hyperlink w:anchor="page23">
              <w:r>
                <w:rPr>
                  <w:rFonts w:ascii="Arial" w:cs="Arial" w:eastAsia="Arial" w:hAnsi="Arial"/>
                  <w:sz w:val="18"/>
                  <w:szCs w:val="18"/>
                  <w:b w:val="1"/>
                  <w:bCs w:val="1"/>
                  <w:color w:val="071D49"/>
                </w:rPr>
                <w:t>THE BOARD OF DIRECTORS AND ITS</w:t>
              </w:r>
            </w:hyperlink>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71D49"/>
              </w:rPr>
              <w:t>20</w:t>
            </w:r>
          </w:p>
        </w:tc>
        <w:tc>
          <w:tcPr>
            <w:tcW w:w="0" w:type="dxa"/>
            <w:vAlign w:val="bottom"/>
          </w:tcPr>
          <w:p>
            <w:pPr>
              <w:spacing w:after="0"/>
              <w:rPr>
                <w:sz w:val="1"/>
                <w:szCs w:val="1"/>
                <w:color w:val="auto"/>
              </w:rPr>
            </w:pPr>
          </w:p>
        </w:tc>
      </w:tr>
      <w:tr>
        <w:trPr>
          <w:trHeight w:val="183"/>
        </w:trPr>
        <w:tc>
          <w:tcPr>
            <w:tcW w:w="3240" w:type="dxa"/>
            <w:vAlign w:val="bottom"/>
            <w:tcBorders>
              <w:top w:val="single" w:sz="8" w:color="071D49"/>
            </w:tcBorders>
            <w:gridSpan w:val="22"/>
          </w:tcPr>
          <w:p>
            <w:pPr>
              <w:spacing w:after="0" w:line="182" w:lineRule="exact"/>
              <w:rPr>
                <w:rFonts w:ascii="Arial" w:cs="Arial" w:eastAsia="Arial" w:hAnsi="Arial"/>
                <w:sz w:val="18"/>
                <w:szCs w:val="18"/>
                <w:b w:val="1"/>
                <w:bCs w:val="1"/>
                <w:color w:val="071D49"/>
              </w:rPr>
            </w:pPr>
            <w:hyperlink w:anchor="page23">
              <w:r>
                <w:rPr>
                  <w:rFonts w:ascii="Arial" w:cs="Arial" w:eastAsia="Arial" w:hAnsi="Arial"/>
                  <w:sz w:val="18"/>
                  <w:szCs w:val="18"/>
                  <w:b w:val="1"/>
                  <w:bCs w:val="1"/>
                  <w:color w:val="071D49"/>
                </w:rPr>
                <w:t>COMMITTEES</w:t>
              </w:r>
            </w:hyperlink>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1"/>
          </w:tcPr>
          <w:p>
            <w:pPr>
              <w:spacing w:after="0"/>
              <w:rPr>
                <w:rFonts w:ascii="Arial" w:cs="Arial" w:eastAsia="Arial" w:hAnsi="Arial"/>
                <w:sz w:val="18"/>
                <w:szCs w:val="18"/>
                <w:b w:val="1"/>
                <w:bCs w:val="1"/>
                <w:color w:val="071D49"/>
              </w:rPr>
            </w:pPr>
            <w:hyperlink w:anchor="page29">
              <w:r>
                <w:rPr>
                  <w:rFonts w:ascii="Arial" w:cs="Arial" w:eastAsia="Arial" w:hAnsi="Arial"/>
                  <w:sz w:val="18"/>
                  <w:szCs w:val="18"/>
                  <w:b w:val="1"/>
                  <w:bCs w:val="1"/>
                  <w:color w:val="071D49"/>
                </w:rPr>
                <w:t>COMMUNICATING WITH THE BOARD OF</w:t>
              </w:r>
            </w:hyperlink>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71D49"/>
              </w:rPr>
              <w:t>26</w:t>
            </w:r>
          </w:p>
        </w:tc>
        <w:tc>
          <w:tcPr>
            <w:tcW w:w="0" w:type="dxa"/>
            <w:vAlign w:val="bottom"/>
          </w:tcPr>
          <w:p>
            <w:pPr>
              <w:spacing w:after="0"/>
              <w:rPr>
                <w:sz w:val="1"/>
                <w:szCs w:val="1"/>
                <w:color w:val="auto"/>
              </w:rPr>
            </w:pPr>
          </w:p>
        </w:tc>
      </w:tr>
      <w:tr>
        <w:trPr>
          <w:trHeight w:val="183"/>
        </w:trPr>
        <w:tc>
          <w:tcPr>
            <w:tcW w:w="3500" w:type="dxa"/>
            <w:vAlign w:val="bottom"/>
            <w:tcBorders>
              <w:top w:val="single" w:sz="8" w:color="071D49"/>
            </w:tcBorders>
            <w:gridSpan w:val="25"/>
          </w:tcPr>
          <w:p>
            <w:pPr>
              <w:spacing w:after="0" w:line="182" w:lineRule="exact"/>
              <w:rPr>
                <w:rFonts w:ascii="Arial" w:cs="Arial" w:eastAsia="Arial" w:hAnsi="Arial"/>
                <w:sz w:val="18"/>
                <w:szCs w:val="18"/>
                <w:b w:val="1"/>
                <w:bCs w:val="1"/>
                <w:color w:val="071D49"/>
              </w:rPr>
            </w:pPr>
            <w:hyperlink w:anchor="page29">
              <w:r>
                <w:rPr>
                  <w:rFonts w:ascii="Arial" w:cs="Arial" w:eastAsia="Arial" w:hAnsi="Arial"/>
                  <w:sz w:val="18"/>
                  <w:szCs w:val="18"/>
                  <w:b w:val="1"/>
                  <w:bCs w:val="1"/>
                  <w:color w:val="071D49"/>
                </w:rPr>
                <w:t>DIRECTORS</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1"/>
          </w:tcPr>
          <w:p>
            <w:pPr>
              <w:spacing w:after="0"/>
              <w:rPr>
                <w:rFonts w:ascii="Arial" w:cs="Arial" w:eastAsia="Arial" w:hAnsi="Arial"/>
                <w:sz w:val="18"/>
                <w:szCs w:val="18"/>
                <w:b w:val="1"/>
                <w:bCs w:val="1"/>
                <w:color w:val="071D49"/>
              </w:rPr>
            </w:pPr>
            <w:hyperlink w:anchor="page30">
              <w:r>
                <w:rPr>
                  <w:rFonts w:ascii="Arial" w:cs="Arial" w:eastAsia="Arial" w:hAnsi="Arial"/>
                  <w:sz w:val="18"/>
                  <w:szCs w:val="18"/>
                  <w:b w:val="1"/>
                  <w:bCs w:val="1"/>
                  <w:color w:val="071D49"/>
                </w:rPr>
                <w:t>DIRECTOR COMPENSATION</w:t>
              </w:r>
            </w:hyperlink>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071D49"/>
              </w:rPr>
              <w:t>27</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1"/>
          </w:tcPr>
          <w:p>
            <w:pPr>
              <w:spacing w:after="0"/>
              <w:rPr>
                <w:rFonts w:ascii="Arial" w:cs="Arial" w:eastAsia="Arial" w:hAnsi="Arial"/>
                <w:sz w:val="18"/>
                <w:szCs w:val="18"/>
                <w:b w:val="1"/>
                <w:bCs w:val="1"/>
                <w:color w:val="071D49"/>
              </w:rPr>
            </w:pPr>
            <w:hyperlink w:anchor="page32">
              <w:r>
                <w:rPr>
                  <w:rFonts w:ascii="Arial" w:cs="Arial" w:eastAsia="Arial" w:hAnsi="Arial"/>
                  <w:sz w:val="18"/>
                  <w:szCs w:val="18"/>
                  <w:b w:val="1"/>
                  <w:bCs w:val="1"/>
                  <w:color w:val="071D49"/>
                </w:rPr>
                <w:t>SECURITIES OWNERSHIP</w:t>
              </w:r>
            </w:hyperlink>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071D49"/>
              </w:rPr>
              <w:t>29</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1"/>
          </w:tcPr>
          <w:p>
            <w:pPr>
              <w:spacing w:after="0"/>
              <w:rPr>
                <w:rFonts w:ascii="Arial" w:cs="Arial" w:eastAsia="Arial" w:hAnsi="Arial"/>
                <w:sz w:val="18"/>
                <w:szCs w:val="18"/>
                <w:b w:val="1"/>
                <w:bCs w:val="1"/>
                <w:color w:val="071D49"/>
              </w:rPr>
            </w:pPr>
            <w:hyperlink w:anchor="page34">
              <w:r>
                <w:rPr>
                  <w:rFonts w:ascii="Arial" w:cs="Arial" w:eastAsia="Arial" w:hAnsi="Arial"/>
                  <w:sz w:val="18"/>
                  <w:szCs w:val="18"/>
                  <w:b w:val="1"/>
                  <w:bCs w:val="1"/>
                  <w:color w:val="071D49"/>
                </w:rPr>
                <w:t>EXECUTIVE COMPENSATION</w:t>
              </w:r>
            </w:hyperlink>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071D49"/>
              </w:rPr>
              <w:t>31</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3160" w:type="dxa"/>
            <w:vAlign w:val="bottom"/>
            <w:tcBorders>
              <w:bottom w:val="single" w:sz="8" w:color="0000EE"/>
            </w:tcBorders>
            <w:gridSpan w:val="23"/>
          </w:tcPr>
          <w:p>
            <w:pPr>
              <w:spacing w:after="0" w:line="15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Compensation Discussion and Analysis</w:t>
              </w:r>
            </w:hyperlink>
          </w:p>
        </w:tc>
        <w:tc>
          <w:tcPr>
            <w:tcW w:w="460" w:type="dxa"/>
            <w:vAlign w:val="bottom"/>
            <w:gridSpan w:val="7"/>
          </w:tcPr>
          <w:p>
            <w:pPr>
              <w:spacing w:after="0"/>
              <w:rPr>
                <w:sz w:val="13"/>
                <w:szCs w:val="13"/>
                <w:color w:val="auto"/>
              </w:rPr>
            </w:pPr>
          </w:p>
        </w:tc>
        <w:tc>
          <w:tcPr>
            <w:tcW w:w="36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6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Committee Report</w:t>
              </w:r>
            </w:hyperlink>
          </w:p>
        </w:tc>
        <w:tc>
          <w:tcPr>
            <w:tcW w:w="940" w:type="dxa"/>
            <w:vAlign w:val="bottom"/>
            <w:gridSpan w:val="12"/>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6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Risk Assessment</w:t>
              </w:r>
            </w:hyperlink>
          </w:p>
        </w:tc>
        <w:tc>
          <w:tcPr>
            <w:tcW w:w="1020" w:type="dxa"/>
            <w:vAlign w:val="bottom"/>
            <w:gridSpan w:val="13"/>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0"/>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Summary Compensation Table</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2021 Grants of Plan-Based Awards</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0"/>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2021 Outstanding Equity Awards at Fiscal</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Year End</w:t>
              </w:r>
            </w:hyperlink>
          </w:p>
        </w:tc>
        <w:tc>
          <w:tcPr>
            <w:tcW w:w="2400" w:type="dxa"/>
            <w:vAlign w:val="bottom"/>
            <w:tcBorders>
              <w:top w:val="single" w:sz="8" w:color="0000EE"/>
            </w:tcBorders>
            <w:gridSpan w:val="23"/>
          </w:tcPr>
          <w:p>
            <w:pPr>
              <w:spacing w:after="0"/>
              <w:rPr>
                <w:sz w:val="15"/>
                <w:szCs w:val="15"/>
                <w:color w:val="auto"/>
              </w:rPr>
            </w:pPr>
          </w:p>
        </w:tc>
        <w:tc>
          <w:tcPr>
            <w:tcW w:w="2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0"/>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2021 Option Exercises and Stock Vested</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Potential Payments upon Termination or</w:t>
              </w:r>
            </w:hyperlink>
          </w:p>
        </w:tc>
        <w:tc>
          <w:tcPr>
            <w:tcW w:w="60" w:type="dxa"/>
            <w:vAlign w:val="bottom"/>
            <w:tcBorders>
              <w:top w:val="single" w:sz="8" w:color="0000EE"/>
            </w:tcBorders>
            <w:gridSpan w:val="2"/>
          </w:tcPr>
          <w:p>
            <w:pPr>
              <w:spacing w:after="0"/>
              <w:rPr>
                <w:sz w:val="15"/>
                <w:szCs w:val="15"/>
                <w:color w:val="auto"/>
              </w:rPr>
            </w:pPr>
          </w:p>
        </w:tc>
        <w:tc>
          <w:tcPr>
            <w:tcW w:w="36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29"/>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Change in Control</w:t>
              </w:r>
            </w:hyperlink>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940" w:type="dxa"/>
            <w:vAlign w:val="bottom"/>
            <w:gridSpan w:val="31"/>
          </w:tcPr>
          <w:p>
            <w:pPr>
              <w:spacing w:after="0"/>
              <w:rPr>
                <w:rFonts w:ascii="Arial" w:cs="Arial" w:eastAsia="Arial" w:hAnsi="Arial"/>
                <w:sz w:val="18"/>
                <w:szCs w:val="18"/>
                <w:b w:val="1"/>
                <w:bCs w:val="1"/>
                <w:color w:val="071D49"/>
              </w:rPr>
            </w:pPr>
            <w:hyperlink w:anchor="page68">
              <w:r>
                <w:rPr>
                  <w:rFonts w:ascii="Arial" w:cs="Arial" w:eastAsia="Arial" w:hAnsi="Arial"/>
                  <w:sz w:val="18"/>
                  <w:szCs w:val="18"/>
                  <w:b w:val="1"/>
                  <w:bCs w:val="1"/>
                  <w:color w:val="071D49"/>
                </w:rPr>
                <w:t>RATIFICATION OF ERNST &amp; YOUNG LLP AS</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071D49"/>
            </w:tcBorders>
            <w:gridSpan w:val="30"/>
          </w:tcPr>
          <w:p>
            <w:pPr>
              <w:spacing w:after="0" w:line="182" w:lineRule="exact"/>
              <w:rPr>
                <w:rFonts w:ascii="Arial" w:cs="Arial" w:eastAsia="Arial" w:hAnsi="Arial"/>
                <w:sz w:val="18"/>
                <w:szCs w:val="18"/>
                <w:b w:val="1"/>
                <w:bCs w:val="1"/>
                <w:color w:val="071D49"/>
              </w:rPr>
            </w:pPr>
            <w:hyperlink w:anchor="page68">
              <w:r>
                <w:rPr>
                  <w:rFonts w:ascii="Arial" w:cs="Arial" w:eastAsia="Arial" w:hAnsi="Arial"/>
                  <w:sz w:val="18"/>
                  <w:szCs w:val="18"/>
                  <w:b w:val="1"/>
                  <w:bCs w:val="1"/>
                  <w:color w:val="071D49"/>
                </w:rPr>
                <w:t>ABBVIE’S INDEPENDENT REGISTERED</w:t>
              </w:r>
            </w:hyperlink>
          </w:p>
        </w:tc>
        <w:tc>
          <w:tcPr>
            <w:tcW w:w="160" w:type="dxa"/>
            <w:vAlign w:val="bottom"/>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71D49"/>
              </w:rPr>
              <w:t>65</w:t>
            </w:r>
          </w:p>
        </w:tc>
        <w:tc>
          <w:tcPr>
            <w:tcW w:w="0" w:type="dxa"/>
            <w:vAlign w:val="bottom"/>
          </w:tcPr>
          <w:p>
            <w:pPr>
              <w:spacing w:after="0"/>
              <w:rPr>
                <w:sz w:val="1"/>
                <w:szCs w:val="1"/>
                <w:color w:val="auto"/>
              </w:rPr>
            </w:pPr>
          </w:p>
        </w:tc>
      </w:tr>
      <w:tr>
        <w:trPr>
          <w:trHeight w:val="183"/>
        </w:trPr>
        <w:tc>
          <w:tcPr>
            <w:tcW w:w="3400" w:type="dxa"/>
            <w:vAlign w:val="bottom"/>
            <w:tcBorders>
              <w:top w:val="single" w:sz="8" w:color="071D49"/>
            </w:tcBorders>
            <w:gridSpan w:val="23"/>
          </w:tcPr>
          <w:p>
            <w:pPr>
              <w:spacing w:after="0" w:line="182" w:lineRule="exact"/>
              <w:rPr>
                <w:rFonts w:ascii="Arial" w:cs="Arial" w:eastAsia="Arial" w:hAnsi="Arial"/>
                <w:sz w:val="18"/>
                <w:szCs w:val="18"/>
                <w:b w:val="1"/>
                <w:bCs w:val="1"/>
                <w:color w:val="071D49"/>
              </w:rPr>
            </w:pPr>
            <w:hyperlink w:anchor="page68">
              <w:r>
                <w:rPr>
                  <w:rFonts w:ascii="Arial" w:cs="Arial" w:eastAsia="Arial" w:hAnsi="Arial"/>
                  <w:sz w:val="18"/>
                  <w:szCs w:val="18"/>
                  <w:b w:val="1"/>
                  <w:bCs w:val="1"/>
                  <w:color w:val="071D49"/>
                </w:rPr>
                <w:t>PUBLIC ACCOUNTING FIRM</w:t>
              </w:r>
            </w:hyperlink>
          </w:p>
        </w:tc>
        <w:tc>
          <w:tcPr>
            <w:tcW w:w="540" w:type="dxa"/>
            <w:vAlign w:val="bottom"/>
            <w:gridSpan w:val="8"/>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8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917575</wp:posOffset>
            </wp:positionV>
            <wp:extent cx="588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3"/>
          </w:tcPr>
          <w:p>
            <w:pPr>
              <w:spacing w:after="0"/>
              <w:rPr>
                <w:rFonts w:ascii="Arial" w:cs="Arial" w:eastAsia="Arial" w:hAnsi="Arial"/>
                <w:sz w:val="18"/>
                <w:szCs w:val="18"/>
                <w:b w:val="1"/>
                <w:bCs w:val="1"/>
                <w:color w:val="071D49"/>
              </w:rPr>
            </w:pPr>
            <w:hyperlink w:anchor="page69">
              <w:r>
                <w:rPr>
                  <w:rFonts w:ascii="Arial" w:cs="Arial" w:eastAsia="Arial" w:hAnsi="Arial"/>
                  <w:sz w:val="18"/>
                  <w:szCs w:val="18"/>
                  <w:b w:val="1"/>
                  <w:bCs w:val="1"/>
                  <w:color w:val="071D49"/>
                </w:rPr>
                <w:t>AUDIT INFORMATION</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071D49"/>
              </w:rPr>
              <w:t>66</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3620" w:type="dxa"/>
            <w:vAlign w:val="bottom"/>
            <w:gridSpan w:val="32"/>
          </w:tcPr>
          <w:p>
            <w:pPr>
              <w:spacing w:after="0" w:line="156" w:lineRule="exact"/>
              <w:rPr>
                <w:rFonts w:ascii="Arial" w:cs="Arial" w:eastAsia="Arial" w:hAnsi="Arial"/>
                <w:sz w:val="18"/>
                <w:szCs w:val="18"/>
                <w:color w:val="0000EE"/>
              </w:rPr>
            </w:pPr>
            <w:hyperlink w:anchor="page69">
              <w:r>
                <w:rPr>
                  <w:rFonts w:ascii="Arial" w:cs="Arial" w:eastAsia="Arial" w:hAnsi="Arial"/>
                  <w:sz w:val="18"/>
                  <w:szCs w:val="18"/>
                  <w:color w:val="0000EE"/>
                </w:rPr>
                <w:t>Audit Fees and Non-Audit Fees</w:t>
              </w:r>
            </w:hyperlink>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Policy on Audit Committee Pre-Approval of</w:t>
              </w:r>
            </w:hyperlink>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Audit and Permissible Non-Audit</w:t>
              </w:r>
            </w:hyperlink>
          </w:p>
        </w:tc>
        <w:tc>
          <w:tcPr>
            <w:tcW w:w="2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Services of the Independent Registered</w:t>
              </w:r>
            </w:hyperlink>
          </w:p>
        </w:tc>
        <w:tc>
          <w:tcPr>
            <w:tcW w:w="26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Public Accounting Firm</w:t>
              </w:r>
            </w:hyperlink>
          </w:p>
        </w:tc>
        <w:tc>
          <w:tcPr>
            <w:tcW w:w="156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920" w:type="dxa"/>
            <w:vAlign w:val="bottom"/>
            <w:tcBorders>
              <w:bottom w:val="single" w:sz="8" w:color="0000EE"/>
            </w:tcBorders>
            <w:gridSpan w:val="13"/>
          </w:tcPr>
          <w:p>
            <w:pPr>
              <w:spacing w:after="0" w:line="182"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Audit Committee Report</w:t>
              </w:r>
            </w:hyperlink>
          </w:p>
        </w:tc>
        <w:tc>
          <w:tcPr>
            <w:tcW w:w="1700" w:type="dxa"/>
            <w:vAlign w:val="bottom"/>
            <w:gridSpan w:val="19"/>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26"/>
        </w:trPr>
        <w:tc>
          <w:tcPr>
            <w:tcW w:w="3940" w:type="dxa"/>
            <w:vAlign w:val="bottom"/>
            <w:gridSpan w:val="33"/>
          </w:tcPr>
          <w:p>
            <w:pPr>
              <w:spacing w:after="0"/>
              <w:rPr>
                <w:rFonts w:ascii="Arial" w:cs="Arial" w:eastAsia="Arial" w:hAnsi="Arial"/>
                <w:sz w:val="18"/>
                <w:szCs w:val="18"/>
                <w:b w:val="1"/>
                <w:bCs w:val="1"/>
                <w:color w:val="071D49"/>
              </w:rPr>
            </w:pPr>
            <w:hyperlink w:anchor="page71">
              <w:r>
                <w:rPr>
                  <w:rFonts w:ascii="Arial" w:cs="Arial" w:eastAsia="Arial" w:hAnsi="Arial"/>
                  <w:sz w:val="18"/>
                  <w:szCs w:val="18"/>
                  <w:b w:val="1"/>
                  <w:bCs w:val="1"/>
                  <w:color w:val="071D49"/>
                </w:rPr>
                <w:t>SAY ON PAY—ADVISORY VOTE ON THE</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40" w:type="dxa"/>
            <w:vAlign w:val="bottom"/>
            <w:tcBorders>
              <w:top w:val="single" w:sz="8" w:color="071D49"/>
            </w:tcBorders>
            <w:gridSpan w:val="27"/>
          </w:tcPr>
          <w:p>
            <w:pPr>
              <w:spacing w:after="0" w:line="182" w:lineRule="exact"/>
              <w:rPr>
                <w:rFonts w:ascii="Arial" w:cs="Arial" w:eastAsia="Arial" w:hAnsi="Arial"/>
                <w:sz w:val="18"/>
                <w:szCs w:val="18"/>
                <w:b w:val="1"/>
                <w:bCs w:val="1"/>
                <w:color w:val="071D49"/>
              </w:rPr>
            </w:pPr>
            <w:hyperlink w:anchor="page71">
              <w:r>
                <w:rPr>
                  <w:rFonts w:ascii="Arial" w:cs="Arial" w:eastAsia="Arial" w:hAnsi="Arial"/>
                  <w:sz w:val="18"/>
                  <w:szCs w:val="18"/>
                  <w:b w:val="1"/>
                  <w:bCs w:val="1"/>
                  <w:color w:val="071D49"/>
                </w:rPr>
                <w:t>APPROVAL OF EXECUTIVE</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71D49"/>
              </w:rPr>
              <w:t>68</w:t>
            </w:r>
          </w:p>
        </w:tc>
        <w:tc>
          <w:tcPr>
            <w:tcW w:w="0" w:type="dxa"/>
            <w:vAlign w:val="bottom"/>
          </w:tcPr>
          <w:p>
            <w:pPr>
              <w:spacing w:after="0"/>
              <w:rPr>
                <w:sz w:val="1"/>
                <w:szCs w:val="1"/>
                <w:color w:val="auto"/>
              </w:rPr>
            </w:pPr>
          </w:p>
        </w:tc>
      </w:tr>
      <w:tr>
        <w:trPr>
          <w:trHeight w:val="183"/>
        </w:trPr>
        <w:tc>
          <w:tcPr>
            <w:tcW w:w="2360" w:type="dxa"/>
            <w:vAlign w:val="bottom"/>
            <w:tcBorders>
              <w:top w:val="single" w:sz="8" w:color="071D49"/>
            </w:tcBorders>
            <w:gridSpan w:val="17"/>
          </w:tcPr>
          <w:p>
            <w:pPr>
              <w:spacing w:after="0" w:line="182" w:lineRule="exact"/>
              <w:rPr>
                <w:rFonts w:ascii="Arial" w:cs="Arial" w:eastAsia="Arial" w:hAnsi="Arial"/>
                <w:sz w:val="18"/>
                <w:szCs w:val="18"/>
                <w:b w:val="1"/>
                <w:bCs w:val="1"/>
                <w:color w:val="071D49"/>
              </w:rPr>
            </w:pPr>
            <w:hyperlink w:anchor="page71">
              <w:r>
                <w:rPr>
                  <w:rFonts w:ascii="Arial" w:cs="Arial" w:eastAsia="Arial" w:hAnsi="Arial"/>
                  <w:sz w:val="18"/>
                  <w:szCs w:val="18"/>
                  <w:b w:val="1"/>
                  <w:bCs w:val="1"/>
                  <w:color w:val="071D49"/>
                </w:rPr>
                <w:t>COMPENSATION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3"/>
          </w:tcPr>
          <w:p>
            <w:pPr>
              <w:spacing w:after="0"/>
              <w:rPr>
                <w:rFonts w:ascii="Arial" w:cs="Arial" w:eastAsia="Arial" w:hAnsi="Arial"/>
                <w:sz w:val="18"/>
                <w:szCs w:val="18"/>
                <w:b w:val="1"/>
                <w:bCs w:val="1"/>
                <w:color w:val="071D49"/>
              </w:rPr>
            </w:pPr>
            <w:hyperlink w:anchor="page72">
              <w:r>
                <w:rPr>
                  <w:rFonts w:ascii="Arial" w:cs="Arial" w:eastAsia="Arial" w:hAnsi="Arial"/>
                  <w:sz w:val="18"/>
                  <w:szCs w:val="18"/>
                  <w:b w:val="1"/>
                  <w:bCs w:val="1"/>
                  <w:color w:val="071D49"/>
                </w:rPr>
                <w:t>MANAGEMENT PROPOSAL TO ELIMINATE</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71D49"/>
              </w:rPr>
              <w:t>69</w:t>
            </w:r>
          </w:p>
        </w:tc>
        <w:tc>
          <w:tcPr>
            <w:tcW w:w="0" w:type="dxa"/>
            <w:vAlign w:val="bottom"/>
          </w:tcPr>
          <w:p>
            <w:pPr>
              <w:spacing w:after="0"/>
              <w:rPr>
                <w:sz w:val="1"/>
                <w:szCs w:val="1"/>
                <w:color w:val="auto"/>
              </w:rPr>
            </w:pPr>
          </w:p>
        </w:tc>
      </w:tr>
      <w:tr>
        <w:trPr>
          <w:trHeight w:val="183"/>
        </w:trPr>
        <w:tc>
          <w:tcPr>
            <w:tcW w:w="3660" w:type="dxa"/>
            <w:vAlign w:val="bottom"/>
            <w:tcBorders>
              <w:top w:val="single" w:sz="8" w:color="071D49"/>
            </w:tcBorders>
            <w:gridSpan w:val="29"/>
          </w:tcPr>
          <w:p>
            <w:pPr>
              <w:spacing w:after="0" w:line="182" w:lineRule="exact"/>
              <w:rPr>
                <w:rFonts w:ascii="Arial" w:cs="Arial" w:eastAsia="Arial" w:hAnsi="Arial"/>
                <w:sz w:val="18"/>
                <w:szCs w:val="18"/>
                <w:b w:val="1"/>
                <w:bCs w:val="1"/>
                <w:color w:val="071D49"/>
              </w:rPr>
            </w:pPr>
            <w:hyperlink w:anchor="page72">
              <w:r>
                <w:rPr>
                  <w:rFonts w:ascii="Arial" w:cs="Arial" w:eastAsia="Arial" w:hAnsi="Arial"/>
                  <w:sz w:val="18"/>
                  <w:szCs w:val="18"/>
                  <w:b w:val="1"/>
                  <w:bCs w:val="1"/>
                  <w:color w:val="071D49"/>
                </w:rPr>
                <w:t>SUPERMAJORITY VOTING</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3"/>
          </w:tcPr>
          <w:p>
            <w:pPr>
              <w:spacing w:after="0"/>
              <w:rPr>
                <w:rFonts w:ascii="Arial" w:cs="Arial" w:eastAsia="Arial" w:hAnsi="Arial"/>
                <w:sz w:val="18"/>
                <w:szCs w:val="18"/>
                <w:b w:val="1"/>
                <w:bCs w:val="1"/>
                <w:color w:val="071D49"/>
              </w:rPr>
            </w:pPr>
            <w:hyperlink w:anchor="page74">
              <w:r>
                <w:rPr>
                  <w:rFonts w:ascii="Arial" w:cs="Arial" w:eastAsia="Arial" w:hAnsi="Arial"/>
                  <w:sz w:val="18"/>
                  <w:szCs w:val="18"/>
                  <w:b w:val="1"/>
                  <w:bCs w:val="1"/>
                  <w:color w:val="071D49"/>
                </w:rPr>
                <w:t>STOCKHOLDER PROPOSALS</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071D49"/>
              </w:rPr>
              <w:t>71</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3620" w:type="dxa"/>
            <w:vAlign w:val="bottom"/>
            <w:gridSpan w:val="32"/>
          </w:tcPr>
          <w:p>
            <w:pPr>
              <w:spacing w:after="0" w:line="156" w:lineRule="exact"/>
              <w:rPr>
                <w:rFonts w:ascii="Arial" w:cs="Arial" w:eastAsia="Arial" w:hAnsi="Arial"/>
                <w:sz w:val="18"/>
                <w:szCs w:val="18"/>
                <w:color w:val="0000EE"/>
              </w:rPr>
            </w:pPr>
            <w:hyperlink w:anchor="page74">
              <w:r>
                <w:rPr>
                  <w:rFonts w:ascii="Arial" w:cs="Arial" w:eastAsia="Arial" w:hAnsi="Arial"/>
                  <w:sz w:val="18"/>
                  <w:szCs w:val="18"/>
                  <w:color w:val="0000EE"/>
                </w:rPr>
                <w:t>Stockholder Proposal on Independent</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8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Chair</w:t>
              </w:r>
            </w:hyperlink>
          </w:p>
        </w:tc>
        <w:tc>
          <w:tcPr>
            <w:tcW w:w="620" w:type="dxa"/>
            <w:vAlign w:val="bottom"/>
            <w:gridSpan w:val="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300" w:type="dxa"/>
            <w:vAlign w:val="bottom"/>
            <w:tcBorders>
              <w:bottom w:val="single" w:sz="8" w:color="0000EE"/>
            </w:tcBorders>
            <w:gridSpan w:val="27"/>
          </w:tcPr>
          <w:p>
            <w:pPr>
              <w:spacing w:after="0" w:line="182"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Stockholder Proposal on Termination Pay</w:t>
              </w:r>
            </w:hyperlink>
          </w:p>
        </w:tc>
        <w:tc>
          <w:tcPr>
            <w:tcW w:w="32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620" w:type="dxa"/>
            <w:vAlign w:val="bottom"/>
            <w:gridSpan w:val="3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 xml:space="preserve">Stockholder Proposal on Report </w:t>
              </w:r>
              <w:r>
                <w:rPr>
                  <w:rFonts w:ascii="Arial" w:cs="Arial" w:eastAsia="Arial" w:hAnsi="Arial"/>
                  <w:sz w:val="18"/>
                  <w:szCs w:val="18"/>
                  <w:color w:val="0000EE"/>
                  <w:highlight w:val="white"/>
                </w:rPr>
                <w:t>on Board</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gridSpan w:val="28"/>
          </w:tcPr>
          <w:p>
            <w:pPr>
              <w:spacing w:after="0" w:line="196" w:lineRule="exact"/>
              <w:rPr>
                <w:rFonts w:ascii="Arial" w:cs="Arial" w:eastAsia="Arial" w:hAnsi="Arial"/>
                <w:sz w:val="19"/>
                <w:szCs w:val="19"/>
                <w:color w:val="0000EE"/>
              </w:rPr>
            </w:pPr>
            <w:hyperlink w:anchor="page78">
              <w:r>
                <w:rPr>
                  <w:rFonts w:ascii="Arial" w:cs="Arial" w:eastAsia="Arial" w:hAnsi="Arial"/>
                  <w:sz w:val="19"/>
                  <w:szCs w:val="19"/>
                  <w:color w:val="0000EE"/>
                </w:rPr>
                <w:t>Oversight of Competition Practices</w:t>
              </w:r>
            </w:hyperlink>
          </w:p>
        </w:tc>
        <w:tc>
          <w:tcPr>
            <w:tcW w:w="2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278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Stockholder Proposal on Political</w:t>
              </w:r>
            </w:hyperlink>
          </w:p>
        </w:tc>
        <w:tc>
          <w:tcPr>
            <w:tcW w:w="84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Arial" w:cs="Arial" w:eastAsia="Arial" w:hAnsi="Arial"/>
                <w:sz w:val="19"/>
                <w:szCs w:val="19"/>
                <w:color w:val="0000EE"/>
                <w:w w:val="97"/>
              </w:rPr>
            </w:pPr>
            <w:hyperlink w:anchor="page80">
              <w:r>
                <w:rPr>
                  <w:rFonts w:ascii="Arial" w:cs="Arial" w:eastAsia="Arial" w:hAnsi="Arial"/>
                  <w:sz w:val="19"/>
                  <w:szCs w:val="19"/>
                  <w:color w:val="0000EE"/>
                  <w:w w:val="97"/>
                </w:rPr>
                <w:t>Spending</w:t>
              </w:r>
            </w:hyperlink>
          </w:p>
        </w:tc>
        <w:tc>
          <w:tcPr>
            <w:tcW w:w="2620" w:type="dxa"/>
            <w:vAlign w:val="bottom"/>
            <w:gridSpan w:val="2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25"/>
        </w:trPr>
        <w:tc>
          <w:tcPr>
            <w:tcW w:w="3940" w:type="dxa"/>
            <w:vAlign w:val="bottom"/>
            <w:gridSpan w:val="33"/>
          </w:tcPr>
          <w:p>
            <w:pPr>
              <w:spacing w:after="0"/>
              <w:rPr>
                <w:rFonts w:ascii="Arial" w:cs="Arial" w:eastAsia="Arial" w:hAnsi="Arial"/>
                <w:sz w:val="18"/>
                <w:szCs w:val="18"/>
                <w:b w:val="1"/>
                <w:bCs w:val="1"/>
                <w:color w:val="071D49"/>
              </w:rPr>
            </w:pPr>
            <w:hyperlink w:anchor="page83">
              <w:r>
                <w:rPr>
                  <w:rFonts w:ascii="Arial" w:cs="Arial" w:eastAsia="Arial" w:hAnsi="Arial"/>
                  <w:sz w:val="18"/>
                  <w:szCs w:val="18"/>
                  <w:b w:val="1"/>
                  <w:bCs w:val="1"/>
                  <w:color w:val="071D49"/>
                </w:rPr>
                <w:t>ADDITIONAL INFORMATION</w:t>
              </w:r>
            </w:hyperlink>
          </w:p>
        </w:tc>
        <w:tc>
          <w:tcPr>
            <w:tcW w:w="360" w:type="dxa"/>
            <w:vAlign w:val="bottom"/>
          </w:tcPr>
          <w:p>
            <w:pPr>
              <w:jc w:val="right"/>
              <w:spacing w:after="0"/>
              <w:rPr>
                <w:sz w:val="20"/>
                <w:szCs w:val="20"/>
                <w:color w:val="auto"/>
              </w:rPr>
            </w:pPr>
            <w:r>
              <w:rPr>
                <w:rFonts w:ascii="Arial" w:cs="Arial" w:eastAsia="Arial" w:hAnsi="Arial"/>
                <w:sz w:val="18"/>
                <w:szCs w:val="18"/>
                <w:b w:val="1"/>
                <w:bCs w:val="1"/>
                <w:color w:val="071D49"/>
              </w:rPr>
              <w:t>80</w:t>
            </w: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3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gridSpan w:val="33"/>
          </w:tcPr>
          <w:p>
            <w:pPr>
              <w:spacing w:after="0"/>
              <w:rPr>
                <w:rFonts w:ascii="Arial" w:cs="Arial" w:eastAsia="Arial" w:hAnsi="Arial"/>
                <w:sz w:val="18"/>
                <w:szCs w:val="18"/>
                <w:b w:val="1"/>
                <w:bCs w:val="1"/>
                <w:color w:val="071D49"/>
              </w:rPr>
            </w:pPr>
            <w:hyperlink w:anchor="page87">
              <w:r>
                <w:rPr>
                  <w:rFonts w:ascii="Arial" w:cs="Arial" w:eastAsia="Arial" w:hAnsi="Arial"/>
                  <w:sz w:val="18"/>
                  <w:szCs w:val="18"/>
                  <w:b w:val="1"/>
                  <w:bCs w:val="1"/>
                  <w:color w:val="071D49"/>
                </w:rPr>
                <w:t>INFORMATION ABOUT THE ANNUAL</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71D49"/>
              </w:rPr>
              <w:t>84</w:t>
            </w:r>
          </w:p>
        </w:tc>
        <w:tc>
          <w:tcPr>
            <w:tcW w:w="0" w:type="dxa"/>
            <w:vAlign w:val="bottom"/>
          </w:tcPr>
          <w:p>
            <w:pPr>
              <w:spacing w:after="0"/>
              <w:rPr>
                <w:sz w:val="1"/>
                <w:szCs w:val="1"/>
                <w:color w:val="auto"/>
              </w:rPr>
            </w:pPr>
          </w:p>
        </w:tc>
      </w:tr>
      <w:tr>
        <w:trPr>
          <w:trHeight w:val="182"/>
        </w:trPr>
        <w:tc>
          <w:tcPr>
            <w:tcW w:w="3160" w:type="dxa"/>
            <w:vAlign w:val="bottom"/>
            <w:tcBorders>
              <w:top w:val="single" w:sz="8" w:color="071D49"/>
            </w:tcBorders>
            <w:gridSpan w:val="24"/>
          </w:tcPr>
          <w:p>
            <w:pPr>
              <w:spacing w:after="0" w:line="182" w:lineRule="exact"/>
              <w:rPr>
                <w:rFonts w:ascii="Arial" w:cs="Arial" w:eastAsia="Arial" w:hAnsi="Arial"/>
                <w:sz w:val="18"/>
                <w:szCs w:val="18"/>
                <w:b w:val="1"/>
                <w:bCs w:val="1"/>
                <w:color w:val="071D49"/>
              </w:rPr>
            </w:pPr>
            <w:hyperlink w:anchor="page87">
              <w:r>
                <w:rPr>
                  <w:rFonts w:ascii="Arial" w:cs="Arial" w:eastAsia="Arial" w:hAnsi="Arial"/>
                  <w:sz w:val="18"/>
                  <w:szCs w:val="18"/>
                  <w:b w:val="1"/>
                  <w:bCs w:val="1"/>
                  <w:color w:val="071D49"/>
                </w:rPr>
                <w:t>MEETING</w:t>
              </w:r>
            </w:hyperlink>
          </w:p>
        </w:tc>
        <w:tc>
          <w:tcPr>
            <w:tcW w:w="260" w:type="dxa"/>
            <w:vAlign w:val="bottom"/>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3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36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160" w:type="dxa"/>
            <w:vAlign w:val="bottom"/>
            <w:tcBorders>
              <w:bottom w:val="single" w:sz="8" w:color="0000EE"/>
            </w:tcBorders>
            <w:gridSpan w:val="6"/>
          </w:tcPr>
          <w:p>
            <w:pPr>
              <w:spacing w:after="0" w:line="15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Who Can Vote</w:t>
              </w:r>
            </w:hyperlink>
          </w:p>
        </w:tc>
        <w:tc>
          <w:tcPr>
            <w:tcW w:w="2460" w:type="dxa"/>
            <w:vAlign w:val="bottom"/>
            <w:gridSpan w:val="26"/>
          </w:tcPr>
          <w:p>
            <w:pPr>
              <w:spacing w:after="0"/>
              <w:rPr>
                <w:sz w:val="13"/>
                <w:szCs w:val="13"/>
                <w:color w:val="auto"/>
              </w:rPr>
            </w:pPr>
          </w:p>
        </w:tc>
        <w:tc>
          <w:tcPr>
            <w:tcW w:w="360" w:type="dxa"/>
            <w:vAlign w:val="bottom"/>
          </w:tcPr>
          <w:p>
            <w:pPr>
              <w:jc w:val="right"/>
              <w:spacing w:after="0" w:line="15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Notice and Access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4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Voting by Proxy</w:t>
              </w:r>
            </w:hyperlink>
          </w:p>
        </w:tc>
        <w:tc>
          <w:tcPr>
            <w:tcW w:w="2140" w:type="dxa"/>
            <w:vAlign w:val="bottom"/>
            <w:gridSpan w:val="2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Revoking a Proxy</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2360" w:type="dxa"/>
            <w:vAlign w:val="bottom"/>
            <w:tcBorders>
              <w:bottom w:val="single" w:sz="8" w:color="0000EE"/>
            </w:tcBorders>
            <w:gridSpan w:val="20"/>
          </w:tcPr>
          <w:p>
            <w:pPr>
              <w:spacing w:after="0" w:line="182" w:lineRule="exact"/>
              <w:rPr>
                <w:rFonts w:ascii="Arial" w:cs="Arial" w:eastAsia="Arial" w:hAnsi="Arial"/>
                <w:sz w:val="18"/>
                <w:szCs w:val="18"/>
                <w:color w:val="0000EE"/>
                <w:w w:val="98"/>
              </w:rPr>
            </w:pPr>
            <w:hyperlink w:anchor="page87">
              <w:r>
                <w:rPr>
                  <w:rFonts w:ascii="Arial" w:cs="Arial" w:eastAsia="Arial" w:hAnsi="Arial"/>
                  <w:sz w:val="18"/>
                  <w:szCs w:val="18"/>
                  <w:color w:val="0000EE"/>
                  <w:w w:val="98"/>
                </w:rPr>
                <w:t>Discretionary Voting Authority</w:t>
              </w:r>
            </w:hyperlink>
          </w:p>
        </w:tc>
        <w:tc>
          <w:tcPr>
            <w:tcW w:w="1260" w:type="dxa"/>
            <w:vAlign w:val="bottom"/>
            <w:gridSpan w:val="1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Quorum and Vote Required to Approve</w:t>
              </w:r>
            </w:hyperlink>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9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Each Item on the Proxy</w:t>
              </w:r>
            </w:hyperlink>
          </w:p>
        </w:tc>
        <w:tc>
          <w:tcPr>
            <w:tcW w:w="520" w:type="dxa"/>
            <w:vAlign w:val="bottom"/>
            <w:gridSpan w:val="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Effect of Broker Non-Votes and Abstentions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w:anchor="page88">
              <w:r>
                <w:rPr>
                  <w:rFonts w:ascii="Arial" w:cs="Arial" w:eastAsia="Arial" w:hAnsi="Arial"/>
                  <w:sz w:val="18"/>
                  <w:szCs w:val="18"/>
                  <w:color w:val="0000EE"/>
                  <w:w w:val="98"/>
                </w:rPr>
                <w:t>Inspectors of Election</w:t>
              </w:r>
            </w:hyperlink>
          </w:p>
        </w:tc>
        <w:tc>
          <w:tcPr>
            <w:tcW w:w="1740" w:type="dxa"/>
            <w:vAlign w:val="bottom"/>
            <w:tcBorders>
              <w:top w:val="single" w:sz="8" w:color="0000EE"/>
            </w:tcBorders>
            <w:gridSpan w:val="19"/>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620" w:type="dxa"/>
            <w:vAlign w:val="bottom"/>
            <w:gridSpan w:val="32"/>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Cost of Soliciting Proxies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88">
              <w:r>
                <w:rPr>
                  <w:rFonts w:ascii="Arial" w:cs="Arial" w:eastAsia="Arial" w:hAnsi="Arial"/>
                  <w:sz w:val="18"/>
                  <w:szCs w:val="18"/>
                  <w:color w:val="0000EE"/>
                  <w:w w:val="98"/>
                </w:rPr>
                <w:t>AbbVie Savings Plan</w:t>
              </w:r>
            </w:hyperlink>
          </w:p>
        </w:tc>
        <w:tc>
          <w:tcPr>
            <w:tcW w:w="300" w:type="dxa"/>
            <w:vAlign w:val="bottom"/>
            <w:tcBorders>
              <w:top w:val="single" w:sz="8" w:color="0000EE"/>
            </w:tcBorders>
            <w:gridSpan w:val="4"/>
          </w:tcPr>
          <w:p>
            <w:pPr>
              <w:spacing w:after="0"/>
              <w:rPr>
                <w:sz w:val="15"/>
                <w:szCs w:val="15"/>
                <w:color w:val="auto"/>
              </w:rPr>
            </w:pPr>
          </w:p>
        </w:tc>
        <w:tc>
          <w:tcPr>
            <w:tcW w:w="164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2">
            <w:col w:w="4300" w:space="660"/>
            <w:col w:w="4300"/>
          </w:cols>
          <w:pgMar w:left="1320" w:top="530" w:right="13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5"/>
          <w:szCs w:val="35"/>
          <w:color w:val="071D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8807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auto"/>
        </w:rPr>
        <w:t>About the Meeting</w:t>
      </w:r>
    </w:p>
    <w:p>
      <w:pPr>
        <w:spacing w:after="0" w:line="27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accompanying proxy is solicited on behalf of the Board of Directors for use at the Annual Meeting of Stockholders. This summary highlights selected information in the proxy statement. Please review the entire proxy statement and the AbbVie 2021 Annual Report before voting. The voting items expected to be proposed at the meeting are listed below along with the board’s voting recommendations.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2022 Annual Meeting of Stockholders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-194945</wp:posOffset>
            </wp:positionV>
            <wp:extent cx="3326130" cy="951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6130" cy="95123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Date and Time: </w:t>
      </w:r>
      <w:r>
        <w:rPr>
          <w:rFonts w:ascii="Arial" w:cs="Arial" w:eastAsia="Arial" w:hAnsi="Arial"/>
          <w:sz w:val="16"/>
          <w:szCs w:val="16"/>
          <w:color w:val="auto"/>
        </w:rPr>
        <w:t>Friday, May 6, 2022 at 9:00 a.m. CT</w:t>
      </w:r>
    </w:p>
    <w:p>
      <w:pPr>
        <w:spacing w:after="0" w:line="86" w:lineRule="exact"/>
        <w:rPr>
          <w:sz w:val="20"/>
          <w:szCs w:val="20"/>
          <w:color w:val="auto"/>
        </w:rPr>
      </w:pPr>
    </w:p>
    <w:p>
      <w:pPr>
        <w:ind w:right="1720"/>
        <w:spacing w:after="0" w:line="286" w:lineRule="auto"/>
        <w:rPr>
          <w:sz w:val="20"/>
          <w:szCs w:val="20"/>
          <w:color w:val="auto"/>
        </w:rPr>
      </w:pPr>
      <w:r>
        <w:rPr>
          <w:rFonts w:ascii="Arial" w:cs="Arial" w:eastAsia="Arial" w:hAnsi="Arial"/>
          <w:sz w:val="16"/>
          <w:szCs w:val="16"/>
          <w:b w:val="1"/>
          <w:bCs w:val="1"/>
          <w:color w:val="auto"/>
        </w:rPr>
        <w:t xml:space="preserve">Place: </w:t>
      </w:r>
      <w:r>
        <w:rPr>
          <w:rFonts w:ascii="Arial" w:cs="Arial" w:eastAsia="Arial" w:hAnsi="Arial"/>
          <w:sz w:val="16"/>
          <w:szCs w:val="16"/>
          <w:color w:val="auto"/>
        </w:rPr>
        <w:t>Via live webcast online at</w:t>
      </w:r>
      <w:r>
        <w:rPr>
          <w:rFonts w:ascii="Arial" w:cs="Arial" w:eastAsia="Arial" w:hAnsi="Arial"/>
          <w:sz w:val="16"/>
          <w:szCs w:val="16"/>
          <w:b w:val="1"/>
          <w:bCs w:val="1"/>
          <w:color w:val="auto"/>
        </w:rPr>
        <w:t xml:space="preserve"> </w:t>
      </w:r>
      <w:r>
        <w:rPr>
          <w:rFonts w:ascii="Arial" w:cs="Arial" w:eastAsia="Arial" w:hAnsi="Arial"/>
          <w:sz w:val="16"/>
          <w:szCs w:val="16"/>
          <w:color w:val="auto"/>
        </w:rPr>
        <w:t>www.virtualshareholdermeeting.com/ABBV2022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March 7, 2022</w:t>
      </w:r>
    </w:p>
    <w:p>
      <w:pPr>
        <w:spacing w:after="0" w:line="725" w:lineRule="exact"/>
        <w:rPr>
          <w:sz w:val="20"/>
          <w:szCs w:val="20"/>
          <w:color w:val="auto"/>
        </w:rPr>
      </w:pPr>
    </w:p>
    <w:p>
      <w:pPr>
        <w:sectPr>
          <w:pgSz w:w="11900" w:h="16838" w:orient="portrait"/>
          <w:cols w:equalWidth="0" w:num="2">
            <w:col w:w="3720" w:space="380"/>
            <w:col w:w="5160"/>
          </w:cols>
          <w:pgMar w:left="1320" w:top="530" w:right="131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Proposal 1: Election of Directors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80" w:type="dxa"/>
            <w:vAlign w:val="bottom"/>
            <w:tcBorders>
              <w:top w:val="single" w:sz="8" w:color="071D49"/>
            </w:tcBorders>
          </w:tcPr>
          <w:p>
            <w:pPr>
              <w:ind w:left="120"/>
              <w:spacing w:after="0"/>
              <w:rPr>
                <w:sz w:val="20"/>
                <w:szCs w:val="20"/>
                <w:color w:val="auto"/>
              </w:rPr>
            </w:pPr>
            <w:r>
              <w:rPr>
                <w:rFonts w:ascii="Arial" w:cs="Arial" w:eastAsia="Arial" w:hAnsi="Arial"/>
                <w:sz w:val="16"/>
                <w:szCs w:val="16"/>
                <w:color w:val="071D49"/>
              </w:rPr>
              <w:t>William H.L. Burnside</w:t>
            </w:r>
          </w:p>
        </w:tc>
        <w:tc>
          <w:tcPr>
            <w:tcW w:w="6160" w:type="dxa"/>
            <w:vAlign w:val="bottom"/>
            <w:tcBorders>
              <w:top w:val="single" w:sz="8" w:color="071D49"/>
            </w:tcBorders>
          </w:tcPr>
          <w:p>
            <w:pPr>
              <w:ind w:left="100"/>
              <w:spacing w:after="0"/>
              <w:rPr>
                <w:sz w:val="20"/>
                <w:szCs w:val="20"/>
                <w:color w:val="auto"/>
              </w:rPr>
            </w:pPr>
            <w:r>
              <w:rPr>
                <w:rFonts w:ascii="Arial" w:cs="Arial" w:eastAsia="Arial" w:hAnsi="Arial"/>
                <w:sz w:val="16"/>
                <w:szCs w:val="16"/>
                <w:color w:val="071D49"/>
              </w:rPr>
              <w:t>Brett J. Hart</w:t>
            </w:r>
          </w:p>
        </w:tc>
      </w:tr>
      <w:tr>
        <w:trPr>
          <w:trHeight w:val="186"/>
        </w:trPr>
        <w:tc>
          <w:tcPr>
            <w:tcW w:w="1780" w:type="dxa"/>
            <w:vAlign w:val="bottom"/>
          </w:tcPr>
          <w:p>
            <w:pPr>
              <w:ind w:left="120"/>
              <w:spacing w:after="0"/>
              <w:rPr>
                <w:sz w:val="20"/>
                <w:szCs w:val="20"/>
                <w:color w:val="auto"/>
              </w:rPr>
            </w:pPr>
            <w:r>
              <w:rPr>
                <w:rFonts w:ascii="Arial" w:cs="Arial" w:eastAsia="Arial" w:hAnsi="Arial"/>
                <w:sz w:val="16"/>
                <w:szCs w:val="16"/>
                <w:color w:val="071D49"/>
              </w:rPr>
              <w:t>Thomas C. Freyman</w:t>
            </w:r>
          </w:p>
        </w:tc>
        <w:tc>
          <w:tcPr>
            <w:tcW w:w="6160" w:type="dxa"/>
            <w:vAlign w:val="bottom"/>
          </w:tcPr>
          <w:p>
            <w:pPr>
              <w:ind w:left="100"/>
              <w:spacing w:after="0"/>
              <w:rPr>
                <w:sz w:val="20"/>
                <w:szCs w:val="20"/>
                <w:color w:val="auto"/>
              </w:rPr>
            </w:pPr>
            <w:r>
              <w:rPr>
                <w:rFonts w:ascii="Arial" w:cs="Arial" w:eastAsia="Arial" w:hAnsi="Arial"/>
                <w:sz w:val="16"/>
                <w:szCs w:val="16"/>
                <w:color w:val="071D49"/>
              </w:rPr>
              <w:t>Edward J. Rapp</w:t>
            </w:r>
          </w:p>
        </w:tc>
      </w:tr>
    </w:tbl>
    <w:p>
      <w:pPr>
        <w:jc w:val="both"/>
        <w:ind w:left="200" w:right="200"/>
        <w:spacing w:after="0"/>
        <w:rPr>
          <w:sz w:val="20"/>
          <w:szCs w:val="20"/>
          <w:color w:val="auto"/>
        </w:rPr>
      </w:pPr>
      <w:r>
        <w:rPr>
          <w:rFonts w:ascii="Arial" w:cs="Arial" w:eastAsia="Arial" w:hAnsi="Arial"/>
          <w:sz w:val="18"/>
          <w:szCs w:val="18"/>
          <w:i w:val="1"/>
          <w:iCs w:val="1"/>
          <w:color w:val="auto"/>
        </w:rPr>
        <w:t>Each of the nominees has the skills and experience necessary to fulfill his or her oversight role with respect to AbbVie’s business and culture. See pages 14-19 for more information about the qualifications of our directors.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71D49"/>
        </w:rPr>
        <w:t>FOR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071D49"/>
        </w:rPr>
        <w:t>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64770</wp:posOffset>
            </wp:positionV>
            <wp:extent cx="31686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6865" cy="257175"/>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7940" w:space="20"/>
            <w:col w:w="1300"/>
          </w:cols>
          <w:pgMar w:left="1320" w:top="530" w:right="1319" w:bottom="1440" w:gutter="0" w:footer="0" w:header="0"/>
          <w:type w:val="continuous"/>
        </w:sectPr>
      </w:pPr>
    </w:p>
    <w:p>
      <w:pPr>
        <w:spacing w:after="0"/>
        <w:rPr>
          <w:sz w:val="20"/>
          <w:szCs w:val="20"/>
          <w:color w:val="auto"/>
        </w:rPr>
      </w:pPr>
      <w:r>
        <w:rPr>
          <w:rFonts w:ascii="Arial" w:cs="Arial" w:eastAsia="Arial" w:hAnsi="Arial"/>
          <w:sz w:val="20"/>
          <w:szCs w:val="20"/>
          <w:b w:val="1"/>
          <w:bCs w:val="1"/>
          <w:color w:val="071D49"/>
        </w:rPr>
        <w:t>Proposal 2: Ratification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0317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11" w:lineRule="exact"/>
        <w:rPr>
          <w:sz w:val="20"/>
          <w:szCs w:val="20"/>
          <w:color w:val="auto"/>
        </w:rPr>
      </w:pPr>
    </w:p>
    <w:p>
      <w:pPr>
        <w:jc w:val="both"/>
        <w:ind w:left="120" w:right="60"/>
        <w:spacing w:after="0" w:line="245" w:lineRule="auto"/>
        <w:rPr>
          <w:sz w:val="20"/>
          <w:szCs w:val="20"/>
          <w:color w:val="auto"/>
        </w:rPr>
      </w:pPr>
      <w:r>
        <w:rPr>
          <w:rFonts w:ascii="Arial" w:cs="Arial" w:eastAsia="Arial" w:hAnsi="Arial"/>
          <w:sz w:val="18"/>
          <w:szCs w:val="18"/>
          <w:i w:val="1"/>
          <w:iCs w:val="1"/>
          <w:color w:val="auto"/>
        </w:rPr>
        <w:t>Ernst &amp; Young LLP has served as our independent auditor since 2013. The board and the audit committee believe it is in the best interests of the company and its stockholders to retain Ernst &amp; Young LLP as the company’s independent auditor. See page 65 for more information.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Proposal 3: Say on Pay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0317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11"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i w:val="1"/>
          <w:iCs w:val="1"/>
          <w:color w:val="auto"/>
        </w:rPr>
        <w:t>AbbVie’s compensation program aligns executive interests with the drivers of long-term, sustainable growth. Our program balances short- and long-term strategic objectives and directly links compensation to stockholder value. See pages 31-64 for more information.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Proposal 4: 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0317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11"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i w:val="1"/>
          <w:iCs w:val="1"/>
          <w:color w:val="auto"/>
        </w:rPr>
        <w:t>AbbVie is again seeking stockholder approval to eliminate supermajority voting thresholds in our charter and by-laws. See pages 69-70 for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Stockholder Proposals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Proposal 5: Stockholder Proposal on Independent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50317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Proposal 6: Stockholder Proposal on Termination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0317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Proposal 7: Stockholder Proposal on Report on Board Oversight of Competition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0317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Proposal 8: Stockholder Proposal on Political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0317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317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71D49"/>
        </w:rPr>
        <w:t>FOR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71D49"/>
        </w:rPr>
        <w:t>FOR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14605</wp:posOffset>
            </wp:positionV>
            <wp:extent cx="334645" cy="282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64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AGAINST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AGAINST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AGAINST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808080"/>
        </w:rPr>
        <w:t>AGAINST</w:t>
      </w:r>
    </w:p>
    <w:p>
      <w:pPr>
        <w:spacing w:after="0" w:line="200" w:lineRule="exact"/>
        <w:rPr>
          <w:sz w:val="20"/>
          <w:szCs w:val="20"/>
          <w:color w:val="auto"/>
        </w:rPr>
      </w:pPr>
    </w:p>
    <w:p>
      <w:pPr>
        <w:sectPr>
          <w:pgSz w:w="11900" w:h="16838" w:orient="portrait"/>
          <w:cols w:equalWidth="0" w:num="2">
            <w:col w:w="7840" w:space="300"/>
            <w:col w:w="1120"/>
          </w:cols>
          <w:pgMar w:left="1320" w:top="530"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240" w:type="dxa"/>
            <w:vAlign w:val="bottom"/>
          </w:tcPr>
          <w:p>
            <w:pPr>
              <w:ind w:left="52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071D4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34"/>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-548005</wp:posOffset>
            </wp:positionV>
            <wp:extent cx="87439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7340"/>
        <w:spacing w:after="0"/>
        <w:rPr>
          <w:sz w:val="20"/>
          <w:szCs w:val="20"/>
          <w:color w:val="auto"/>
        </w:rPr>
      </w:pPr>
      <w:r>
        <w:rPr>
          <w:rFonts w:ascii="Arial" w:cs="Arial" w:eastAsia="Arial" w:hAnsi="Arial"/>
          <w:sz w:val="18"/>
          <w:szCs w:val="18"/>
          <w:color w:val="808080"/>
        </w:rPr>
        <w:t>PROXY SUMMARY</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1307465</wp:posOffset>
            </wp:positionH>
            <wp:positionV relativeFrom="paragraph">
              <wp:posOffset>115570</wp:posOffset>
            </wp:positionV>
            <wp:extent cx="17145" cy="4080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408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115570</wp:posOffset>
            </wp:positionV>
            <wp:extent cx="68580" cy="4080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4080510"/>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149860</wp:posOffset>
            </wp:positionV>
            <wp:extent cx="625475"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5475" cy="61722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spacing w:after="0"/>
        <w:rPr>
          <w:sz w:val="20"/>
          <w:szCs w:val="20"/>
          <w:color w:val="auto"/>
        </w:rPr>
      </w:pPr>
      <w:r>
        <w:rPr>
          <w:rFonts w:ascii="Arial" w:cs="Arial" w:eastAsia="Arial" w:hAnsi="Arial"/>
          <w:sz w:val="25"/>
          <w:szCs w:val="25"/>
          <w:b w:val="1"/>
          <w:bCs w:val="1"/>
          <w:color w:val="auto"/>
        </w:rPr>
        <w:t>~ 50,000</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employees</w:t>
      </w:r>
    </w:p>
    <w:p>
      <w:pPr>
        <w:ind w:left="660"/>
        <w:spacing w:after="0"/>
        <w:rPr>
          <w:sz w:val="20"/>
          <w:szCs w:val="20"/>
          <w:color w:val="auto"/>
        </w:rPr>
      </w:pPr>
      <w:r>
        <w:rPr>
          <w:rFonts w:ascii="Arial" w:cs="Arial" w:eastAsia="Arial" w:hAnsi="Arial"/>
          <w:sz w:val="18"/>
          <w:szCs w:val="18"/>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168910</wp:posOffset>
            </wp:positionV>
            <wp:extent cx="9944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4410" cy="17145"/>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426085</wp:posOffset>
            </wp:positionV>
            <wp:extent cx="659765" cy="651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Launched in</w:t>
      </w:r>
    </w:p>
    <w:p>
      <w:pPr>
        <w:ind w:left="780"/>
        <w:spacing w:after="0"/>
        <w:rPr>
          <w:sz w:val="20"/>
          <w:szCs w:val="20"/>
          <w:color w:val="auto"/>
        </w:rPr>
      </w:pPr>
      <w:r>
        <w:rPr>
          <w:rFonts w:ascii="Arial" w:cs="Arial" w:eastAsia="Arial" w:hAnsi="Arial"/>
          <w:sz w:val="25"/>
          <w:szCs w:val="25"/>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227965</wp:posOffset>
            </wp:positionV>
            <wp:extent cx="9944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4410" cy="1714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459740</wp:posOffset>
            </wp:positionV>
            <wp:extent cx="78867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886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480"/>
        <w:spacing w:after="0"/>
        <w:rPr>
          <w:sz w:val="20"/>
          <w:szCs w:val="20"/>
          <w:color w:val="auto"/>
        </w:rPr>
      </w:pPr>
      <w:r>
        <w:rPr>
          <w:rFonts w:ascii="Arial" w:cs="Arial" w:eastAsia="Arial" w:hAnsi="Arial"/>
          <w:sz w:val="25"/>
          <w:szCs w:val="25"/>
          <w:b w:val="1"/>
          <w:bCs w:val="1"/>
          <w:color w:val="auto"/>
        </w:rPr>
        <w:t>Millions</w:t>
      </w:r>
    </w:p>
    <w:p>
      <w:pPr>
        <w:spacing w:after="0" w:line="39"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of patient lives</w:t>
      </w:r>
    </w:p>
    <w:p>
      <w:pPr>
        <w:spacing w:after="0" w:line="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touched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right="360"/>
        <w:spacing w:after="0" w:line="285" w:lineRule="auto"/>
        <w:rPr>
          <w:sz w:val="20"/>
          <w:szCs w:val="20"/>
          <w:color w:val="auto"/>
        </w:rPr>
      </w:pPr>
      <w:r>
        <w:rPr>
          <w:rFonts w:ascii="Arial" w:cs="Arial" w:eastAsia="Arial" w:hAnsi="Arial"/>
          <w:sz w:val="21"/>
          <w:szCs w:val="21"/>
          <w:b w:val="1"/>
          <w:bCs w:val="1"/>
          <w:color w:val="071D49"/>
        </w:rPr>
        <w:t>In more than 70 countries, AbbVie employees are working every day to advance health solutions for people around the world.</w:t>
      </w:r>
    </w:p>
    <w:p>
      <w:pPr>
        <w:spacing w:after="0" w:line="33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AbbVie is a global, research-based biopharmaceutical company. AbbVie uses its expertise, dedicated people and unique approach to innovation to develop and market advanced therapies that address some of the world’s most complex and serious diseases.</w:t>
      </w:r>
    </w:p>
    <w:p>
      <w:pPr>
        <w:spacing w:after="0" w:line="7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At AbbVie, we care deeply for patients and customers, their families, our employees, and our communities. Our products and pipeline help us make a remarkable impact on our stakeholders and beyond. Our products help patients in over 175 countries around the world.</w:t>
      </w:r>
    </w:p>
    <w:p>
      <w:pPr>
        <w:spacing w:after="0" w:line="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May 8, 2020, AbbVie completed the acquisition of Allergan plc (Allergan). The acquisition of Allergan created a diversified biopharmaceutical company positioned for success with a comprehensive product portfolio that has leadership positions in key therapeutic areas of immunology, hematologic oncology, aesthetics, neuroscience, and eye care.</w:t>
      </w:r>
    </w:p>
    <w:p>
      <w:pPr>
        <w:spacing w:after="0" w:line="5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Since our inception as an independent company in 2013, we have invested over $50 billion in research and development. At AbbVie, research and development centers around the patient, from understanding disease biology to treatment delivery, clinical trials, and beyond. We combine our experience pioneering scientific breakthroughs, the best ideas in science, and advanced technologies to develop the next generation of medicines.</w:t>
      </w:r>
    </w:p>
    <w:p>
      <w:pPr>
        <w:spacing w:after="0" w:line="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Globally, our employees represent diverse backgrounds and perspectives, and our company values treating everyone equally, with dignity and respect, which we believe allows us to achieve our best. We proudly do our part to serve and support our communities and protect the environment to make a lasting impact on health care and beyond.</w:t>
      </w:r>
    </w:p>
    <w:p>
      <w:pPr>
        <w:spacing w:after="0" w:line="200" w:lineRule="exact"/>
        <w:rPr>
          <w:sz w:val="20"/>
          <w:szCs w:val="20"/>
          <w:color w:val="auto"/>
        </w:rPr>
      </w:pPr>
    </w:p>
    <w:p>
      <w:pPr>
        <w:sectPr>
          <w:pgSz w:w="11900" w:h="16838" w:orient="portrait"/>
          <w:cols w:equalWidth="0" w:num="2">
            <w:col w:w="1620" w:space="700"/>
            <w:col w:w="6940"/>
          </w:cols>
          <w:pgMar w:left="1320" w:top="530" w:right="131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color w:val="FFFFFF"/>
        </w:rPr>
        <w:t>AbbVie’s Principles are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587184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1845" cy="21463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8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Transforming</w:t>
            </w:r>
          </w:p>
        </w:tc>
        <w:tc>
          <w:tcPr>
            <w:tcW w:w="14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72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Acting with</w:t>
            </w:r>
          </w:p>
        </w:tc>
        <w:tc>
          <w:tcPr>
            <w:tcW w:w="40" w:type="dxa"/>
            <w:vAlign w:val="bottom"/>
          </w:tcPr>
          <w:p>
            <w:pPr>
              <w:spacing w:after="0"/>
              <w:rPr>
                <w:sz w:val="3"/>
                <w:szCs w:val="3"/>
                <w:color w:val="auto"/>
              </w:rPr>
            </w:pPr>
          </w:p>
        </w:tc>
        <w:tc>
          <w:tcPr>
            <w:tcW w:w="172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Driving</w:t>
            </w:r>
          </w:p>
        </w:tc>
        <w:tc>
          <w:tcPr>
            <w:tcW w:w="20" w:type="dxa"/>
            <w:vAlign w:val="bottom"/>
          </w:tcPr>
          <w:p>
            <w:pPr>
              <w:spacing w:after="0"/>
              <w:rPr>
                <w:sz w:val="3"/>
                <w:szCs w:val="3"/>
                <w:color w:val="auto"/>
              </w:rPr>
            </w:pPr>
          </w:p>
        </w:tc>
        <w:tc>
          <w:tcPr>
            <w:tcW w:w="2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Embracing</w:t>
            </w:r>
          </w:p>
        </w:tc>
        <w:tc>
          <w:tcPr>
            <w:tcW w:w="20" w:type="dxa"/>
            <w:vAlign w:val="bottom"/>
          </w:tcPr>
          <w:p>
            <w:pPr>
              <w:spacing w:after="0"/>
              <w:rPr>
                <w:sz w:val="3"/>
                <w:szCs w:val="3"/>
                <w:color w:val="auto"/>
              </w:rPr>
            </w:pPr>
          </w:p>
        </w:tc>
        <w:tc>
          <w:tcPr>
            <w:tcW w:w="160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Serving the</w:t>
            </w:r>
          </w:p>
        </w:tc>
        <w:tc>
          <w:tcPr>
            <w:tcW w:w="0" w:type="dxa"/>
            <w:vAlign w:val="bottom"/>
          </w:tcPr>
          <w:p>
            <w:pPr>
              <w:spacing w:after="0"/>
              <w:rPr>
                <w:sz w:val="1"/>
                <w:szCs w:val="1"/>
                <w:color w:val="auto"/>
              </w:rPr>
            </w:pPr>
          </w:p>
        </w:tc>
      </w:tr>
      <w:tr>
        <w:trPr>
          <w:trHeight w:val="211"/>
        </w:trPr>
        <w:tc>
          <w:tcPr>
            <w:tcW w:w="20" w:type="dxa"/>
            <w:vAlign w:val="bottom"/>
            <w:shd w:val="clear" w:color="auto" w:fill="071D49"/>
          </w:tcPr>
          <w:p>
            <w:pPr>
              <w:spacing w:after="0"/>
              <w:rPr>
                <w:sz w:val="18"/>
                <w:szCs w:val="18"/>
                <w:color w:val="auto"/>
              </w:rPr>
            </w:pPr>
          </w:p>
        </w:tc>
        <w:tc>
          <w:tcPr>
            <w:tcW w:w="18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 w:type="dxa"/>
            <w:vAlign w:val="bottom"/>
            <w:shd w:val="clear" w:color="auto" w:fill="071D49"/>
          </w:tcPr>
          <w:p>
            <w:pPr>
              <w:spacing w:after="0"/>
              <w:rPr>
                <w:sz w:val="18"/>
                <w:szCs w:val="18"/>
                <w:color w:val="auto"/>
              </w:rPr>
            </w:pPr>
          </w:p>
        </w:tc>
        <w:tc>
          <w:tcPr>
            <w:tcW w:w="1720" w:type="dxa"/>
            <w:vAlign w:val="bottom"/>
            <w:vMerge w:val="continue"/>
          </w:tcPr>
          <w:p>
            <w:pPr>
              <w:spacing w:after="0"/>
              <w:rPr>
                <w:sz w:val="18"/>
                <w:szCs w:val="18"/>
                <w:color w:val="auto"/>
              </w:rPr>
            </w:pPr>
          </w:p>
        </w:tc>
        <w:tc>
          <w:tcPr>
            <w:tcW w:w="40" w:type="dxa"/>
            <w:vAlign w:val="bottom"/>
            <w:shd w:val="clear" w:color="auto" w:fill="071D49"/>
          </w:tcPr>
          <w:p>
            <w:pPr>
              <w:spacing w:after="0"/>
              <w:rPr>
                <w:sz w:val="18"/>
                <w:szCs w:val="18"/>
                <w:color w:val="auto"/>
              </w:rPr>
            </w:pPr>
          </w:p>
        </w:tc>
        <w:tc>
          <w:tcPr>
            <w:tcW w:w="1720" w:type="dxa"/>
            <w:vAlign w:val="bottom"/>
            <w:vMerge w:val="continue"/>
          </w:tcPr>
          <w:p>
            <w:pPr>
              <w:spacing w:after="0"/>
              <w:rPr>
                <w:sz w:val="18"/>
                <w:szCs w:val="18"/>
                <w:color w:val="auto"/>
              </w:rPr>
            </w:pPr>
          </w:p>
        </w:tc>
        <w:tc>
          <w:tcPr>
            <w:tcW w:w="20" w:type="dxa"/>
            <w:vAlign w:val="bottom"/>
            <w:shd w:val="clear" w:color="auto" w:fill="071D49"/>
          </w:tcPr>
          <w:p>
            <w:pPr>
              <w:spacing w:after="0"/>
              <w:rPr>
                <w:sz w:val="18"/>
                <w:szCs w:val="18"/>
                <w:color w:val="auto"/>
              </w:rPr>
            </w:pPr>
          </w:p>
        </w:tc>
        <w:tc>
          <w:tcPr>
            <w:tcW w:w="2120" w:type="dxa"/>
            <w:vAlign w:val="bottom"/>
            <w:vMerge w:val="continue"/>
          </w:tcPr>
          <w:p>
            <w:pPr>
              <w:spacing w:after="0"/>
              <w:rPr>
                <w:sz w:val="18"/>
                <w:szCs w:val="18"/>
                <w:color w:val="auto"/>
              </w:rPr>
            </w:pPr>
          </w:p>
        </w:tc>
        <w:tc>
          <w:tcPr>
            <w:tcW w:w="20" w:type="dxa"/>
            <w:vAlign w:val="bottom"/>
            <w:shd w:val="clear" w:color="auto" w:fill="071D49"/>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071D49"/>
          </w:tcPr>
          <w:p>
            <w:pPr>
              <w:spacing w:after="0"/>
              <w:rPr>
                <w:sz w:val="21"/>
                <w:szCs w:val="21"/>
                <w:color w:val="auto"/>
              </w:rPr>
            </w:pPr>
          </w:p>
        </w:tc>
        <w:tc>
          <w:tcPr>
            <w:tcW w:w="1840" w:type="dxa"/>
            <w:vAlign w:val="bottom"/>
          </w:tcPr>
          <w:p>
            <w:pPr>
              <w:ind w:left="120"/>
              <w:spacing w:after="0" w:line="243" w:lineRule="exact"/>
              <w:rPr>
                <w:sz w:val="20"/>
                <w:szCs w:val="20"/>
                <w:color w:val="auto"/>
              </w:rPr>
            </w:pPr>
            <w:r>
              <w:rPr>
                <w:rFonts w:ascii="Arial" w:cs="Arial" w:eastAsia="Arial" w:hAnsi="Arial"/>
                <w:sz w:val="22"/>
                <w:szCs w:val="22"/>
                <w:b w:val="1"/>
                <w:bCs w:val="1"/>
                <w:color w:val="auto"/>
              </w:rPr>
              <w:t>Lives</w:t>
            </w:r>
          </w:p>
        </w:tc>
        <w:tc>
          <w:tcPr>
            <w:tcW w:w="140" w:type="dxa"/>
            <w:vAlign w:val="bottom"/>
          </w:tcPr>
          <w:p>
            <w:pPr>
              <w:spacing w:after="0"/>
              <w:rPr>
                <w:sz w:val="21"/>
                <w:szCs w:val="21"/>
                <w:color w:val="auto"/>
              </w:rPr>
            </w:pPr>
          </w:p>
        </w:tc>
        <w:tc>
          <w:tcPr>
            <w:tcW w:w="20" w:type="dxa"/>
            <w:vAlign w:val="bottom"/>
            <w:shd w:val="clear" w:color="auto" w:fill="071D49"/>
          </w:tcPr>
          <w:p>
            <w:pPr>
              <w:spacing w:after="0"/>
              <w:rPr>
                <w:sz w:val="21"/>
                <w:szCs w:val="21"/>
                <w:color w:val="auto"/>
              </w:rPr>
            </w:pPr>
          </w:p>
        </w:tc>
        <w:tc>
          <w:tcPr>
            <w:tcW w:w="1720" w:type="dxa"/>
            <w:vAlign w:val="bottom"/>
          </w:tcPr>
          <w:p>
            <w:pPr>
              <w:ind w:left="120"/>
              <w:spacing w:after="0" w:line="243" w:lineRule="exact"/>
              <w:rPr>
                <w:sz w:val="20"/>
                <w:szCs w:val="20"/>
                <w:color w:val="auto"/>
              </w:rPr>
            </w:pPr>
            <w:r>
              <w:rPr>
                <w:rFonts w:ascii="Arial" w:cs="Arial" w:eastAsia="Arial" w:hAnsi="Arial"/>
                <w:sz w:val="22"/>
                <w:szCs w:val="22"/>
                <w:b w:val="1"/>
                <w:bCs w:val="1"/>
                <w:color w:val="auto"/>
              </w:rPr>
              <w:t>Integrity</w:t>
            </w:r>
          </w:p>
        </w:tc>
        <w:tc>
          <w:tcPr>
            <w:tcW w:w="40" w:type="dxa"/>
            <w:vAlign w:val="bottom"/>
            <w:shd w:val="clear" w:color="auto" w:fill="071D49"/>
          </w:tcPr>
          <w:p>
            <w:pPr>
              <w:spacing w:after="0"/>
              <w:rPr>
                <w:sz w:val="21"/>
                <w:szCs w:val="21"/>
                <w:color w:val="auto"/>
              </w:rPr>
            </w:pPr>
          </w:p>
        </w:tc>
        <w:tc>
          <w:tcPr>
            <w:tcW w:w="1720" w:type="dxa"/>
            <w:vAlign w:val="bottom"/>
          </w:tcPr>
          <w:p>
            <w:pPr>
              <w:ind w:left="120"/>
              <w:spacing w:after="0" w:line="243" w:lineRule="exact"/>
              <w:rPr>
                <w:sz w:val="20"/>
                <w:szCs w:val="20"/>
                <w:color w:val="auto"/>
              </w:rPr>
            </w:pPr>
            <w:r>
              <w:rPr>
                <w:rFonts w:ascii="Arial" w:cs="Arial" w:eastAsia="Arial" w:hAnsi="Arial"/>
                <w:sz w:val="22"/>
                <w:szCs w:val="22"/>
                <w:b w:val="1"/>
                <w:bCs w:val="1"/>
                <w:color w:val="auto"/>
              </w:rPr>
              <w:t>Innovation</w:t>
            </w:r>
          </w:p>
        </w:tc>
        <w:tc>
          <w:tcPr>
            <w:tcW w:w="20" w:type="dxa"/>
            <w:vAlign w:val="bottom"/>
            <w:shd w:val="clear" w:color="auto" w:fill="071D49"/>
          </w:tcPr>
          <w:p>
            <w:pPr>
              <w:spacing w:after="0"/>
              <w:rPr>
                <w:sz w:val="21"/>
                <w:szCs w:val="21"/>
                <w:color w:val="auto"/>
              </w:rPr>
            </w:pPr>
          </w:p>
        </w:tc>
        <w:tc>
          <w:tcPr>
            <w:tcW w:w="212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Diversity</w:t>
            </w:r>
          </w:p>
        </w:tc>
        <w:tc>
          <w:tcPr>
            <w:tcW w:w="20" w:type="dxa"/>
            <w:vAlign w:val="bottom"/>
            <w:shd w:val="clear" w:color="auto" w:fill="071D49"/>
          </w:tcPr>
          <w:p>
            <w:pPr>
              <w:spacing w:after="0"/>
              <w:rPr>
                <w:sz w:val="21"/>
                <w:szCs w:val="21"/>
                <w:color w:val="auto"/>
              </w:rPr>
            </w:pPr>
          </w:p>
        </w:tc>
        <w:tc>
          <w:tcPr>
            <w:tcW w:w="1600" w:type="dxa"/>
            <w:vAlign w:val="bottom"/>
          </w:tcPr>
          <w:p>
            <w:pPr>
              <w:ind w:left="120"/>
              <w:spacing w:after="0" w:line="243" w:lineRule="exact"/>
              <w:rPr>
                <w:sz w:val="20"/>
                <w:szCs w:val="20"/>
                <w:color w:val="auto"/>
              </w:rPr>
            </w:pPr>
            <w:r>
              <w:rPr>
                <w:rFonts w:ascii="Arial" w:cs="Arial" w:eastAsia="Arial" w:hAnsi="Arial"/>
                <w:sz w:val="22"/>
                <w:szCs w:val="22"/>
                <w:b w:val="1"/>
                <w:bCs w:val="1"/>
                <w:color w:val="auto"/>
              </w:rPr>
              <w:t>Community</w:t>
            </w:r>
          </w:p>
        </w:tc>
        <w:tc>
          <w:tcPr>
            <w:tcW w:w="0" w:type="dxa"/>
            <w:vAlign w:val="bottom"/>
          </w:tcPr>
          <w:p>
            <w:pPr>
              <w:spacing w:after="0"/>
              <w:rPr>
                <w:sz w:val="1"/>
                <w:szCs w:val="1"/>
                <w:color w:val="auto"/>
              </w:rPr>
            </w:pPr>
          </w:p>
        </w:tc>
      </w:tr>
      <w:tr>
        <w:trPr>
          <w:trHeight w:val="234"/>
        </w:trPr>
        <w:tc>
          <w:tcPr>
            <w:tcW w:w="20" w:type="dxa"/>
            <w:vAlign w:val="bottom"/>
            <w:shd w:val="clear" w:color="auto" w:fill="071D49"/>
          </w:tcPr>
          <w:p>
            <w:pPr>
              <w:spacing w:after="0"/>
              <w:rPr>
                <w:sz w:val="20"/>
                <w:szCs w:val="20"/>
                <w:color w:val="auto"/>
              </w:rPr>
            </w:pPr>
          </w:p>
        </w:tc>
        <w:tc>
          <w:tcPr>
            <w:tcW w:w="1840" w:type="dxa"/>
            <w:vAlign w:val="bottom"/>
          </w:tcPr>
          <w:p>
            <w:pPr>
              <w:ind w:left="120"/>
              <w:spacing w:after="0"/>
              <w:rPr>
                <w:sz w:val="20"/>
                <w:szCs w:val="20"/>
                <w:color w:val="auto"/>
              </w:rPr>
            </w:pPr>
            <w:r>
              <w:rPr>
                <w:rFonts w:ascii="Arial" w:cs="Arial" w:eastAsia="Arial" w:hAnsi="Arial"/>
                <w:sz w:val="18"/>
                <w:szCs w:val="18"/>
                <w:color w:val="auto"/>
              </w:rPr>
              <w:t>We inspire hope and</w:t>
            </w:r>
          </w:p>
        </w:tc>
        <w:tc>
          <w:tcPr>
            <w:tcW w:w="140" w:type="dxa"/>
            <w:vAlign w:val="bottom"/>
          </w:tcPr>
          <w:p>
            <w:pPr>
              <w:spacing w:after="0"/>
              <w:rPr>
                <w:sz w:val="20"/>
                <w:szCs w:val="20"/>
                <w:color w:val="auto"/>
              </w:rPr>
            </w:pPr>
          </w:p>
        </w:tc>
        <w:tc>
          <w:tcPr>
            <w:tcW w:w="20" w:type="dxa"/>
            <w:vAlign w:val="bottom"/>
            <w:shd w:val="clear" w:color="auto" w:fill="071D49"/>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We strive to</w:t>
            </w:r>
          </w:p>
        </w:tc>
        <w:tc>
          <w:tcPr>
            <w:tcW w:w="40" w:type="dxa"/>
            <w:vAlign w:val="bottom"/>
            <w:shd w:val="clear" w:color="auto" w:fill="071D49"/>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We innovate</w:t>
            </w:r>
          </w:p>
        </w:tc>
        <w:tc>
          <w:tcPr>
            <w:tcW w:w="20" w:type="dxa"/>
            <w:vAlign w:val="bottom"/>
            <w:shd w:val="clear" w:color="auto" w:fill="071D49"/>
          </w:tcPr>
          <w:p>
            <w:pPr>
              <w:spacing w:after="0"/>
              <w:rPr>
                <w:sz w:val="20"/>
                <w:szCs w:val="20"/>
                <w:color w:val="auto"/>
              </w:rPr>
            </w:pPr>
          </w:p>
        </w:tc>
        <w:tc>
          <w:tcPr>
            <w:tcW w:w="2120" w:type="dxa"/>
            <w:vAlign w:val="bottom"/>
          </w:tcPr>
          <w:p>
            <w:pPr>
              <w:ind w:left="140"/>
              <w:spacing w:after="0" w:line="234" w:lineRule="exact"/>
              <w:rPr>
                <w:sz w:val="20"/>
                <w:szCs w:val="20"/>
                <w:color w:val="auto"/>
              </w:rPr>
            </w:pPr>
            <w:r>
              <w:rPr>
                <w:rFonts w:ascii="Arial" w:cs="Arial" w:eastAsia="Arial" w:hAnsi="Arial"/>
                <w:sz w:val="22"/>
                <w:szCs w:val="22"/>
                <w:b w:val="1"/>
                <w:bCs w:val="1"/>
                <w:color w:val="auto"/>
              </w:rPr>
              <w:t>&amp; Inclusion</w:t>
            </w:r>
          </w:p>
        </w:tc>
        <w:tc>
          <w:tcPr>
            <w:tcW w:w="20" w:type="dxa"/>
            <w:vAlign w:val="bottom"/>
            <w:shd w:val="clear" w:color="auto" w:fill="071D49"/>
          </w:tcPr>
          <w:p>
            <w:pPr>
              <w:spacing w:after="0"/>
              <w:rPr>
                <w:sz w:val="20"/>
                <w:szCs w:val="20"/>
                <w:color w:val="auto"/>
              </w:rPr>
            </w:pPr>
          </w:p>
        </w:tc>
        <w:tc>
          <w:tcPr>
            <w:tcW w:w="1600" w:type="dxa"/>
            <w:vAlign w:val="bottom"/>
          </w:tcPr>
          <w:p>
            <w:pPr>
              <w:ind w:left="120"/>
              <w:spacing w:after="0"/>
              <w:rPr>
                <w:sz w:val="20"/>
                <w:szCs w:val="20"/>
                <w:color w:val="auto"/>
              </w:rPr>
            </w:pPr>
            <w:r>
              <w:rPr>
                <w:rFonts w:ascii="Arial" w:cs="Arial" w:eastAsia="Arial" w:hAnsi="Arial"/>
                <w:sz w:val="18"/>
                <w:szCs w:val="18"/>
                <w:color w:val="auto"/>
              </w:rPr>
              <w:t>We are proud to</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3" w:lineRule="exact"/>
              <w:rPr>
                <w:sz w:val="20"/>
                <w:szCs w:val="20"/>
                <w:color w:val="auto"/>
              </w:rPr>
            </w:pPr>
            <w:r>
              <w:rPr>
                <w:rFonts w:ascii="Arial" w:cs="Arial" w:eastAsia="Arial" w:hAnsi="Arial"/>
                <w:sz w:val="18"/>
                <w:szCs w:val="18"/>
                <w:color w:val="auto"/>
              </w:rPr>
              <w:t>transform lives every</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3" w:lineRule="exact"/>
              <w:rPr>
                <w:sz w:val="20"/>
                <w:szCs w:val="20"/>
                <w:color w:val="auto"/>
              </w:rPr>
            </w:pPr>
            <w:r>
              <w:rPr>
                <w:rFonts w:ascii="Arial" w:cs="Arial" w:eastAsia="Arial" w:hAnsi="Arial"/>
                <w:sz w:val="18"/>
                <w:szCs w:val="18"/>
                <w:color w:val="auto"/>
              </w:rPr>
              <w:t>always do the</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3" w:lineRule="exact"/>
              <w:rPr>
                <w:sz w:val="20"/>
                <w:szCs w:val="20"/>
                <w:color w:val="auto"/>
              </w:rPr>
            </w:pPr>
            <w:r>
              <w:rPr>
                <w:rFonts w:ascii="Arial" w:cs="Arial" w:eastAsia="Arial" w:hAnsi="Arial"/>
                <w:sz w:val="18"/>
                <w:szCs w:val="18"/>
                <w:color w:val="auto"/>
              </w:rPr>
              <w:t>relentlessly in</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3" w:lineRule="exact"/>
              <w:rPr>
                <w:sz w:val="20"/>
                <w:szCs w:val="20"/>
                <w:color w:val="auto"/>
              </w:rPr>
            </w:pPr>
            <w:r>
              <w:rPr>
                <w:rFonts w:ascii="Arial" w:cs="Arial" w:eastAsia="Arial" w:hAnsi="Arial"/>
                <w:sz w:val="18"/>
                <w:szCs w:val="18"/>
                <w:color w:val="auto"/>
              </w:rPr>
              <w:t>We treat everyone</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3" w:lineRule="exact"/>
              <w:rPr>
                <w:sz w:val="20"/>
                <w:szCs w:val="20"/>
                <w:color w:val="auto"/>
              </w:rPr>
            </w:pPr>
            <w:r>
              <w:rPr>
                <w:rFonts w:ascii="Arial" w:cs="Arial" w:eastAsia="Arial" w:hAnsi="Arial"/>
                <w:sz w:val="18"/>
                <w:szCs w:val="18"/>
                <w:color w:val="auto"/>
              </w:rPr>
              <w:t>serve and support</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day. We make</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right thing. With</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everything we do</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equally, with dignity</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the community</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decisions based on</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uncompromising</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to tackle unmet</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and respect. Around</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and do our part to</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our deep caring and</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integrity at the</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needs. We invest</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the world, our</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protect the</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compassion for</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heart of</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in the discovery</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employees embrace</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environment. We</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people, delivering a</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everything we do,</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and development</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diverse backgrounds</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make a</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lasting impact to our</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we pursue the</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of new medicines</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and perspectives,</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remarkable</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patients, their</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highest standards</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and healthcare</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which allows us all to</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impact that's felt</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families, our</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in quality,</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approaches for a</w:t>
            </w:r>
          </w:p>
        </w:tc>
        <w:tc>
          <w:tcPr>
            <w:tcW w:w="20" w:type="dxa"/>
            <w:vAlign w:val="bottom"/>
            <w:shd w:val="clear" w:color="auto" w:fill="071D49"/>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Arial" w:cs="Arial" w:eastAsia="Arial" w:hAnsi="Arial"/>
                <w:sz w:val="18"/>
                <w:szCs w:val="18"/>
                <w:color w:val="auto"/>
              </w:rPr>
              <w:t>achieve our best.</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2" w:lineRule="exact"/>
              <w:rPr>
                <w:sz w:val="20"/>
                <w:szCs w:val="20"/>
                <w:color w:val="auto"/>
              </w:rPr>
            </w:pPr>
            <w:r>
              <w:rPr>
                <w:rFonts w:ascii="Arial" w:cs="Arial" w:eastAsia="Arial" w:hAnsi="Arial"/>
                <w:sz w:val="18"/>
                <w:szCs w:val="18"/>
                <w:color w:val="auto"/>
              </w:rPr>
              <w:t>within healthcare</w:t>
            </w:r>
          </w:p>
        </w:tc>
        <w:tc>
          <w:tcPr>
            <w:tcW w:w="0" w:type="dxa"/>
            <w:vAlign w:val="bottom"/>
          </w:tcPr>
          <w:p>
            <w:pPr>
              <w:spacing w:after="0"/>
              <w:rPr>
                <w:sz w:val="1"/>
                <w:szCs w:val="1"/>
                <w:color w:val="auto"/>
              </w:rPr>
            </w:pPr>
          </w:p>
        </w:tc>
      </w:tr>
      <w:tr>
        <w:trPr>
          <w:trHeight w:val="202"/>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1" w:lineRule="exact"/>
              <w:rPr>
                <w:sz w:val="20"/>
                <w:szCs w:val="20"/>
                <w:color w:val="auto"/>
              </w:rPr>
            </w:pPr>
            <w:r>
              <w:rPr>
                <w:rFonts w:ascii="Arial" w:cs="Arial" w:eastAsia="Arial" w:hAnsi="Arial"/>
                <w:sz w:val="18"/>
                <w:szCs w:val="18"/>
                <w:color w:val="auto"/>
              </w:rPr>
              <w:t>employees and the</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1" w:lineRule="exact"/>
              <w:rPr>
                <w:sz w:val="20"/>
                <w:szCs w:val="20"/>
                <w:color w:val="auto"/>
              </w:rPr>
            </w:pPr>
            <w:r>
              <w:rPr>
                <w:rFonts w:ascii="Arial" w:cs="Arial" w:eastAsia="Arial" w:hAnsi="Arial"/>
                <w:sz w:val="18"/>
                <w:szCs w:val="18"/>
                <w:color w:val="auto"/>
              </w:rPr>
              <w:t>compliance,</w:t>
            </w:r>
          </w:p>
        </w:tc>
        <w:tc>
          <w:tcPr>
            <w:tcW w:w="40" w:type="dxa"/>
            <w:vAlign w:val="bottom"/>
            <w:shd w:val="clear" w:color="auto" w:fill="071D49"/>
          </w:tcPr>
          <w:p>
            <w:pPr>
              <w:spacing w:after="0"/>
              <w:rPr>
                <w:sz w:val="17"/>
                <w:szCs w:val="17"/>
                <w:color w:val="auto"/>
              </w:rPr>
            </w:pPr>
          </w:p>
        </w:tc>
        <w:tc>
          <w:tcPr>
            <w:tcW w:w="1720" w:type="dxa"/>
            <w:vAlign w:val="bottom"/>
          </w:tcPr>
          <w:p>
            <w:pPr>
              <w:ind w:left="120"/>
              <w:spacing w:after="0" w:line="201" w:lineRule="exact"/>
              <w:rPr>
                <w:sz w:val="20"/>
                <w:szCs w:val="20"/>
                <w:color w:val="auto"/>
              </w:rPr>
            </w:pPr>
            <w:r>
              <w:rPr>
                <w:rFonts w:ascii="Arial" w:cs="Arial" w:eastAsia="Arial" w:hAnsi="Arial"/>
                <w:sz w:val="18"/>
                <w:szCs w:val="18"/>
                <w:color w:val="auto"/>
              </w:rPr>
              <w:t>healthier world.</w:t>
            </w:r>
          </w:p>
        </w:tc>
        <w:tc>
          <w:tcPr>
            <w:tcW w:w="20" w:type="dxa"/>
            <w:vAlign w:val="bottom"/>
            <w:shd w:val="clear" w:color="auto" w:fill="071D49"/>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line="201" w:lineRule="exact"/>
              <w:rPr>
                <w:sz w:val="20"/>
                <w:szCs w:val="20"/>
                <w:color w:val="auto"/>
              </w:rPr>
            </w:pPr>
            <w:r>
              <w:rPr>
                <w:rFonts w:ascii="Arial" w:cs="Arial" w:eastAsia="Arial" w:hAnsi="Arial"/>
                <w:sz w:val="18"/>
                <w:szCs w:val="18"/>
                <w:color w:val="auto"/>
              </w:rPr>
              <w:t>and beyond.</w:t>
            </w: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ind w:left="120"/>
              <w:spacing w:after="0" w:line="202" w:lineRule="exact"/>
              <w:rPr>
                <w:sz w:val="20"/>
                <w:szCs w:val="20"/>
                <w:color w:val="auto"/>
              </w:rPr>
            </w:pPr>
            <w:r>
              <w:rPr>
                <w:rFonts w:ascii="Arial" w:cs="Arial" w:eastAsia="Arial" w:hAnsi="Arial"/>
                <w:sz w:val="18"/>
                <w:szCs w:val="18"/>
                <w:color w:val="auto"/>
              </w:rPr>
              <w:t>community.</w:t>
            </w: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2" w:lineRule="exact"/>
              <w:rPr>
                <w:sz w:val="20"/>
                <w:szCs w:val="20"/>
                <w:color w:val="auto"/>
              </w:rPr>
            </w:pPr>
            <w:r>
              <w:rPr>
                <w:rFonts w:ascii="Arial" w:cs="Arial" w:eastAsia="Arial" w:hAnsi="Arial"/>
                <w:sz w:val="18"/>
                <w:szCs w:val="18"/>
                <w:color w:val="auto"/>
              </w:rPr>
              <w:t>safety and</w:t>
            </w:r>
          </w:p>
        </w:tc>
        <w:tc>
          <w:tcPr>
            <w:tcW w:w="40" w:type="dxa"/>
            <w:vAlign w:val="bottom"/>
            <w:shd w:val="clear" w:color="auto" w:fill="071D49"/>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71D49"/>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line="203" w:lineRule="exact"/>
              <w:rPr>
                <w:sz w:val="20"/>
                <w:szCs w:val="20"/>
                <w:color w:val="auto"/>
              </w:rPr>
            </w:pPr>
            <w:r>
              <w:rPr>
                <w:rFonts w:ascii="Arial" w:cs="Arial" w:eastAsia="Arial" w:hAnsi="Arial"/>
                <w:sz w:val="18"/>
                <w:szCs w:val="18"/>
                <w:color w:val="auto"/>
              </w:rPr>
              <w:t>performance.</w:t>
            </w:r>
          </w:p>
        </w:tc>
        <w:tc>
          <w:tcPr>
            <w:tcW w:w="40" w:type="dxa"/>
            <w:vAlign w:val="bottom"/>
            <w:shd w:val="clear" w:color="auto" w:fill="071D49"/>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8"/>
        </w:trPr>
        <w:tc>
          <w:tcPr>
            <w:tcW w:w="1860" w:type="dxa"/>
            <w:vAlign w:val="bottom"/>
            <w:gridSpan w:val="2"/>
          </w:tcPr>
          <w:p>
            <w:pPr>
              <w:jc w:val="right"/>
              <w:ind w:right="1667"/>
              <w:spacing w:after="0"/>
              <w:rPr>
                <w:sz w:val="20"/>
                <w:szCs w:val="20"/>
                <w:color w:val="auto"/>
              </w:rPr>
            </w:pPr>
            <w:r>
              <w:rPr>
                <w:rFonts w:ascii="Arial" w:cs="Arial" w:eastAsia="Arial" w:hAnsi="Arial"/>
                <w:sz w:val="18"/>
                <w:szCs w:val="18"/>
                <w:color w:val="auto"/>
                <w:w w:val="79"/>
              </w:rPr>
              <w:t>2</w:t>
            </w:r>
          </w:p>
        </w:tc>
        <w:tc>
          <w:tcPr>
            <w:tcW w:w="3640" w:type="dxa"/>
            <w:vAlign w:val="bottom"/>
            <w:gridSpan w:val="5"/>
          </w:tcPr>
          <w:p>
            <w:pPr>
              <w:ind w:left="60"/>
              <w:spacing w:after="0"/>
              <w:rPr>
                <w:sz w:val="20"/>
                <w:szCs w:val="20"/>
                <w:color w:val="auto"/>
              </w:rPr>
            </w:pPr>
            <w:r>
              <w:rPr>
                <w:rFonts w:ascii="Arial" w:cs="Arial" w:eastAsia="Arial" w:hAnsi="Arial"/>
                <w:sz w:val="27"/>
                <w:szCs w:val="27"/>
                <w:i w:val="1"/>
                <w:iCs w:val="1"/>
                <w:color w:val="auto"/>
              </w:rPr>
              <w:t xml:space="preserve">|  </w:t>
            </w:r>
            <w:r>
              <w:rPr>
                <w:rFonts w:ascii="Arial" w:cs="Arial" w:eastAsia="Arial" w:hAnsi="Arial"/>
                <w:sz w:val="17"/>
                <w:szCs w:val="17"/>
                <w:i w:val="1"/>
                <w:iCs w:val="1"/>
                <w:color w:val="auto"/>
              </w:rPr>
              <w:t>2022 Proxy Statement</w:t>
            </w: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-548005</wp:posOffset>
            </wp:positionV>
            <wp:extent cx="874395"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808080"/>
        </w:rPr>
        <w:t>PROXY SUMMARY</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Our Business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AbbVie has delivered robust financial results since our launch in 2013</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81"/>
        </w:trPr>
        <w:tc>
          <w:tcPr>
            <w:tcW w:w="80" w:type="dxa"/>
            <w:vAlign w:val="bottom"/>
            <w:shd w:val="clear" w:color="auto" w:fill="071D49"/>
          </w:tcPr>
          <w:p>
            <w:pPr>
              <w:spacing w:after="0"/>
              <w:rPr>
                <w:sz w:val="7"/>
                <w:szCs w:val="7"/>
                <w:color w:val="auto"/>
              </w:rPr>
            </w:pPr>
          </w:p>
        </w:tc>
        <w:tc>
          <w:tcPr>
            <w:tcW w:w="4280" w:type="dxa"/>
            <w:vAlign w:val="bottom"/>
            <w:shd w:val="clear" w:color="auto" w:fill="071D49"/>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shd w:val="clear" w:color="auto" w:fill="071D49"/>
          </w:tcPr>
          <w:p>
            <w:pPr>
              <w:spacing w:after="0"/>
              <w:rPr>
                <w:sz w:val="7"/>
                <w:szCs w:val="7"/>
                <w:color w:val="auto"/>
              </w:rPr>
            </w:pPr>
          </w:p>
        </w:tc>
        <w:tc>
          <w:tcPr>
            <w:tcW w:w="4480" w:type="dxa"/>
            <w:vAlign w:val="bottom"/>
            <w:shd w:val="clear" w:color="auto" w:fill="071D49"/>
          </w:tcPr>
          <w:p>
            <w:pPr>
              <w:spacing w:after="0"/>
              <w:rPr>
                <w:sz w:val="7"/>
                <w:szCs w:val="7"/>
                <w:color w:val="auto"/>
              </w:rPr>
            </w:pPr>
          </w:p>
        </w:tc>
      </w:tr>
      <w:tr>
        <w:trPr>
          <w:trHeight w:val="742"/>
        </w:trPr>
        <w:tc>
          <w:tcPr>
            <w:tcW w:w="80" w:type="dxa"/>
            <w:vAlign w:val="bottom"/>
            <w:shd w:val="clear" w:color="auto" w:fill="071D49"/>
          </w:tcPr>
          <w:p>
            <w:pPr>
              <w:spacing w:after="0"/>
              <w:rPr>
                <w:sz w:val="24"/>
                <w:szCs w:val="24"/>
                <w:color w:val="auto"/>
              </w:rPr>
            </w:pPr>
          </w:p>
        </w:tc>
        <w:tc>
          <w:tcPr>
            <w:tcW w:w="4280" w:type="dxa"/>
            <w:vAlign w:val="bottom"/>
          </w:tcPr>
          <w:p>
            <w:pPr>
              <w:ind w:left="180"/>
              <w:spacing w:after="0" w:line="742" w:lineRule="exact"/>
              <w:rPr>
                <w:sz w:val="20"/>
                <w:szCs w:val="20"/>
                <w:color w:val="auto"/>
              </w:rPr>
            </w:pPr>
            <w:r>
              <w:rPr>
                <w:rFonts w:ascii="Arial" w:cs="Arial" w:eastAsia="Arial" w:hAnsi="Arial"/>
                <w:sz w:val="65"/>
                <w:szCs w:val="65"/>
                <w:color w:val="071D49"/>
              </w:rPr>
              <w:t>14.7%</w:t>
            </w:r>
          </w:p>
        </w:tc>
        <w:tc>
          <w:tcPr>
            <w:tcW w:w="180" w:type="dxa"/>
            <w:vAlign w:val="bottom"/>
          </w:tcPr>
          <w:p>
            <w:pPr>
              <w:spacing w:after="0"/>
              <w:rPr>
                <w:sz w:val="24"/>
                <w:szCs w:val="24"/>
                <w:color w:val="auto"/>
              </w:rPr>
            </w:pPr>
          </w:p>
        </w:tc>
        <w:tc>
          <w:tcPr>
            <w:tcW w:w="80" w:type="dxa"/>
            <w:vAlign w:val="bottom"/>
            <w:shd w:val="clear" w:color="auto" w:fill="071D49"/>
          </w:tcPr>
          <w:p>
            <w:pPr>
              <w:spacing w:after="0"/>
              <w:rPr>
                <w:sz w:val="24"/>
                <w:szCs w:val="24"/>
                <w:color w:val="auto"/>
              </w:rPr>
            </w:pPr>
          </w:p>
        </w:tc>
        <w:tc>
          <w:tcPr>
            <w:tcW w:w="4480" w:type="dxa"/>
            <w:vAlign w:val="bottom"/>
          </w:tcPr>
          <w:p>
            <w:pPr>
              <w:ind w:left="160"/>
              <w:spacing w:after="0" w:line="742" w:lineRule="exact"/>
              <w:rPr>
                <w:sz w:val="20"/>
                <w:szCs w:val="20"/>
                <w:color w:val="auto"/>
              </w:rPr>
            </w:pPr>
            <w:r>
              <w:rPr>
                <w:rFonts w:ascii="Arial" w:cs="Arial" w:eastAsia="Arial" w:hAnsi="Arial"/>
                <w:sz w:val="65"/>
                <w:szCs w:val="65"/>
                <w:color w:val="071D49"/>
              </w:rPr>
              <w:t>474.7%</w:t>
            </w:r>
          </w:p>
        </w:tc>
      </w:tr>
      <w:tr>
        <w:trPr>
          <w:trHeight w:val="203"/>
        </w:trPr>
        <w:tc>
          <w:tcPr>
            <w:tcW w:w="80" w:type="dxa"/>
            <w:vAlign w:val="bottom"/>
            <w:shd w:val="clear" w:color="auto" w:fill="071D49"/>
          </w:tcPr>
          <w:p>
            <w:pPr>
              <w:spacing w:after="0"/>
              <w:rPr>
                <w:sz w:val="17"/>
                <w:szCs w:val="17"/>
                <w:color w:val="auto"/>
              </w:rPr>
            </w:pPr>
          </w:p>
        </w:tc>
        <w:tc>
          <w:tcPr>
            <w:tcW w:w="4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Adjusted net revenues</w:t>
            </w:r>
          </w:p>
        </w:tc>
        <w:tc>
          <w:tcPr>
            <w:tcW w:w="80" w:type="dxa"/>
            <w:vAlign w:val="bottom"/>
            <w:shd w:val="clear" w:color="auto" w:fill="071D49"/>
          </w:tcPr>
          <w:p>
            <w:pPr>
              <w:spacing w:after="0"/>
              <w:rPr>
                <w:sz w:val="17"/>
                <w:szCs w:val="17"/>
                <w:color w:val="auto"/>
              </w:rPr>
            </w:pPr>
          </w:p>
        </w:tc>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9 year total stockholder return</w:t>
            </w:r>
          </w:p>
        </w:tc>
      </w:tr>
      <w:tr>
        <w:trPr>
          <w:trHeight w:val="203"/>
        </w:trPr>
        <w:tc>
          <w:tcPr>
            <w:tcW w:w="80" w:type="dxa"/>
            <w:vAlign w:val="bottom"/>
            <w:shd w:val="clear" w:color="auto" w:fill="071D49"/>
          </w:tcPr>
          <w:p>
            <w:pPr>
              <w:spacing w:after="0"/>
              <w:rPr>
                <w:sz w:val="17"/>
                <w:szCs w:val="17"/>
                <w:color w:val="auto"/>
              </w:rPr>
            </w:pPr>
          </w:p>
        </w:tc>
        <w:tc>
          <w:tcPr>
            <w:tcW w:w="44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  compound annual growth rate (CAGR)*</w:t>
            </w:r>
          </w:p>
        </w:tc>
        <w:tc>
          <w:tcPr>
            <w:tcW w:w="80" w:type="dxa"/>
            <w:vAlign w:val="bottom"/>
            <w:shd w:val="clear" w:color="auto" w:fill="071D49"/>
          </w:tcPr>
          <w:p>
            <w:pPr>
              <w:spacing w:after="0"/>
              <w:rPr>
                <w:sz w:val="17"/>
                <w:szCs w:val="17"/>
                <w:color w:val="auto"/>
              </w:rPr>
            </w:pPr>
          </w:p>
        </w:tc>
        <w:tc>
          <w:tcPr>
            <w:tcW w:w="44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102870</wp:posOffset>
            </wp:positionV>
            <wp:extent cx="5768975" cy="779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8975" cy="77978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65"/>
          <w:szCs w:val="65"/>
          <w:color w:val="808080"/>
        </w:rPr>
        <w:t>21</w:t>
      </w:r>
    </w:p>
    <w:p>
      <w:pPr>
        <w:ind w:left="420"/>
        <w:spacing w:after="0"/>
        <w:rPr>
          <w:sz w:val="20"/>
          <w:szCs w:val="20"/>
          <w:color w:val="auto"/>
        </w:rPr>
      </w:pPr>
      <w:r>
        <w:rPr>
          <w:rFonts w:ascii="Arial" w:cs="Arial" w:eastAsia="Arial" w:hAnsi="Arial"/>
          <w:sz w:val="18"/>
          <w:szCs w:val="18"/>
          <w:color w:val="auto"/>
        </w:rPr>
        <w:t>Major product or indication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229235</wp:posOffset>
            </wp:positionV>
            <wp:extent cx="2768600" cy="908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860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1600"/>
        <w:spacing w:after="0"/>
        <w:rPr>
          <w:sz w:val="20"/>
          <w:szCs w:val="20"/>
          <w:color w:val="auto"/>
        </w:rPr>
      </w:pPr>
      <w:r>
        <w:rPr>
          <w:rFonts w:ascii="Arial" w:cs="Arial" w:eastAsia="Arial" w:hAnsi="Arial"/>
          <w:sz w:val="64"/>
          <w:szCs w:val="64"/>
          <w:color w:val="808080"/>
        </w:rPr>
        <w:t>~$185BN</w:t>
      </w:r>
    </w:p>
    <w:p>
      <w:pPr>
        <w:spacing w:after="0" w:line="234" w:lineRule="auto"/>
        <w:rPr>
          <w:sz w:val="20"/>
          <w:szCs w:val="20"/>
          <w:color w:val="auto"/>
        </w:rPr>
      </w:pPr>
      <w:r>
        <w:rPr>
          <w:rFonts w:ascii="Arial" w:cs="Arial" w:eastAsia="Arial" w:hAnsi="Arial"/>
          <w:sz w:val="18"/>
          <w:szCs w:val="18"/>
          <w:color w:val="auto"/>
        </w:rPr>
        <w:t>Increase in market capitalization</w:t>
      </w:r>
    </w:p>
    <w:p>
      <w:pPr>
        <w:spacing w:after="0" w:line="1"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added significant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100330</wp:posOffset>
            </wp:positionV>
            <wp:extent cx="2897505" cy="908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7505" cy="908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4320"/>
          </w:cols>
          <w:pgMar w:left="1320" w:top="530" w:right="1319" w:bottom="1440" w:gutter="0" w:footer="0" w:header="0"/>
          <w:type w:val="continuous"/>
        </w:sectPr>
      </w:pPr>
    </w:p>
    <w:p>
      <w:pPr>
        <w:spacing w:after="0" w:line="34" w:lineRule="exact"/>
        <w:rPr>
          <w:sz w:val="20"/>
          <w:szCs w:val="20"/>
          <w:color w:val="auto"/>
        </w:rPr>
      </w:pPr>
    </w:p>
    <w:p>
      <w:pPr>
        <w:ind w:left="420"/>
        <w:spacing w:after="0"/>
        <w:rPr>
          <w:sz w:val="20"/>
          <w:szCs w:val="20"/>
          <w:color w:val="auto"/>
        </w:rPr>
      </w:pPr>
      <w:r>
        <w:rPr>
          <w:rFonts w:ascii="Arial" w:cs="Arial" w:eastAsia="Arial" w:hAnsi="Arial"/>
          <w:sz w:val="65"/>
          <w:szCs w:val="65"/>
          <w:color w:val="A6A6A6"/>
        </w:rPr>
        <w:t>19.1%</w:t>
      </w:r>
    </w:p>
    <w:p>
      <w:pPr>
        <w:ind w:left="420"/>
        <w:spacing w:after="0" w:line="246" w:lineRule="auto"/>
        <w:rPr>
          <w:sz w:val="20"/>
          <w:szCs w:val="20"/>
          <w:color w:val="auto"/>
        </w:rPr>
      </w:pPr>
      <w:r>
        <w:rPr>
          <w:rFonts w:ascii="Arial" w:cs="Arial" w:eastAsia="Arial" w:hAnsi="Arial"/>
          <w:sz w:val="18"/>
          <w:szCs w:val="18"/>
          <w:color w:val="auto"/>
        </w:rPr>
        <w:t>Adjusted diluted earnings per share - compound annual growth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65"/>
          <w:szCs w:val="65"/>
          <w:color w:val="A6A6A6"/>
        </w:rPr>
        <w:t>&gt;250%</w:t>
      </w:r>
    </w:p>
    <w:p>
      <w:pPr>
        <w:spacing w:after="0" w:line="234" w:lineRule="auto"/>
        <w:rPr>
          <w:sz w:val="20"/>
          <w:szCs w:val="20"/>
          <w:color w:val="auto"/>
        </w:rPr>
      </w:pPr>
      <w:r>
        <w:rPr>
          <w:rFonts w:ascii="Arial" w:cs="Arial" w:eastAsia="Arial" w:hAnsi="Arial"/>
          <w:sz w:val="18"/>
          <w:szCs w:val="18"/>
          <w:color w:val="auto"/>
        </w:rPr>
        <w:t>Increase in quarterly dividend</w:t>
      </w:r>
    </w:p>
    <w:p>
      <w:pPr>
        <w:spacing w:after="0" w:line="1" w:lineRule="exact"/>
        <w:rPr>
          <w:sz w:val="20"/>
          <w:szCs w:val="20"/>
          <w:color w:val="auto"/>
        </w:rPr>
      </w:pPr>
    </w:p>
    <w:p>
      <w:pPr>
        <w:ind w:right="220" w:firstLine="8"/>
        <w:spacing w:after="0" w:line="246" w:lineRule="auto"/>
        <w:tabs>
          <w:tab w:leader="none" w:pos="21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quarterly dividend to $1.41 per share from $0.40 per share at inception</w:t>
      </w:r>
    </w:p>
    <w:p>
      <w:pPr>
        <w:spacing w:after="0" w:line="144" w:lineRule="exact"/>
        <w:rPr>
          <w:sz w:val="20"/>
          <w:szCs w:val="20"/>
          <w:color w:val="auto"/>
        </w:rPr>
      </w:pPr>
    </w:p>
    <w:p>
      <w:pPr>
        <w:sectPr>
          <w:pgSz w:w="11900" w:h="16838" w:orient="portrait"/>
          <w:cols w:equalWidth="0" w:num="2">
            <w:col w:w="4260" w:space="680"/>
            <w:col w:w="4320"/>
          </w:cols>
          <w:pgMar w:left="1320" w:top="530" w:right="1319" w:bottom="1440" w:gutter="0" w:footer="0" w:header="0"/>
          <w:type w:val="continuous"/>
        </w:sectPr>
      </w:pPr>
    </w:p>
    <w:tbl>
      <w:tblPr>
        <w:tblLayout w:type="fixed"/>
        <w:tblInd w:w="160" w:type="dxa"/>
        <w:tblCellMar>
          <w:top w:w="0" w:type="dxa"/>
          <w:left w:w="0" w:type="dxa"/>
          <w:bottom w:w="0" w:type="dxa"/>
          <w:right w:w="0" w:type="dxa"/>
        </w:tblCellMar>
      </w:tblPr>
      <w:tr>
        <w:trPr>
          <w:trHeight w:val="81"/>
        </w:trPr>
        <w:tc>
          <w:tcPr>
            <w:tcW w:w="80" w:type="dxa"/>
            <w:vAlign w:val="bottom"/>
            <w:shd w:val="clear" w:color="auto" w:fill="BFBFBF"/>
          </w:tcPr>
          <w:p>
            <w:pPr>
              <w:spacing w:after="0"/>
              <w:rPr>
                <w:sz w:val="7"/>
                <w:szCs w:val="7"/>
                <w:color w:val="auto"/>
              </w:rPr>
            </w:pPr>
          </w:p>
        </w:tc>
        <w:tc>
          <w:tcPr>
            <w:tcW w:w="4280" w:type="dxa"/>
            <w:vAlign w:val="bottom"/>
            <w:shd w:val="clear" w:color="auto" w:fill="BFBFBF"/>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4480" w:type="dxa"/>
            <w:vAlign w:val="bottom"/>
            <w:shd w:val="clear" w:color="auto" w:fill="BFBFBF"/>
          </w:tcPr>
          <w:p>
            <w:pPr>
              <w:spacing w:after="0"/>
              <w:rPr>
                <w:sz w:val="7"/>
                <w:szCs w:val="7"/>
                <w:color w:val="auto"/>
              </w:rPr>
            </w:pPr>
          </w:p>
        </w:tc>
      </w:tr>
      <w:tr>
        <w:trPr>
          <w:trHeight w:val="742"/>
        </w:trPr>
        <w:tc>
          <w:tcPr>
            <w:tcW w:w="80" w:type="dxa"/>
            <w:vAlign w:val="bottom"/>
            <w:shd w:val="clear" w:color="auto" w:fill="BFBFBF"/>
          </w:tcPr>
          <w:p>
            <w:pPr>
              <w:spacing w:after="0"/>
              <w:rPr>
                <w:sz w:val="24"/>
                <w:szCs w:val="24"/>
                <w:color w:val="auto"/>
              </w:rPr>
            </w:pPr>
          </w:p>
        </w:tc>
        <w:tc>
          <w:tcPr>
            <w:tcW w:w="4460" w:type="dxa"/>
            <w:vAlign w:val="bottom"/>
            <w:gridSpan w:val="2"/>
          </w:tcPr>
          <w:p>
            <w:pPr>
              <w:ind w:left="180"/>
              <w:spacing w:after="0" w:line="742" w:lineRule="exact"/>
              <w:rPr>
                <w:sz w:val="20"/>
                <w:szCs w:val="20"/>
                <w:color w:val="auto"/>
              </w:rPr>
            </w:pPr>
            <w:r>
              <w:rPr>
                <w:rFonts w:ascii="Arial" w:cs="Arial" w:eastAsia="Arial" w:hAnsi="Arial"/>
                <w:sz w:val="65"/>
                <w:szCs w:val="65"/>
                <w:color w:val="BFBFBF"/>
              </w:rPr>
              <w:t>1,400 bps</w:t>
            </w:r>
          </w:p>
        </w:tc>
        <w:tc>
          <w:tcPr>
            <w:tcW w:w="80" w:type="dxa"/>
            <w:vAlign w:val="bottom"/>
            <w:shd w:val="clear" w:color="auto" w:fill="BFBFBF"/>
          </w:tcPr>
          <w:p>
            <w:pPr>
              <w:spacing w:after="0"/>
              <w:rPr>
                <w:sz w:val="24"/>
                <w:szCs w:val="24"/>
                <w:color w:val="auto"/>
              </w:rPr>
            </w:pPr>
          </w:p>
        </w:tc>
        <w:tc>
          <w:tcPr>
            <w:tcW w:w="4480" w:type="dxa"/>
            <w:vAlign w:val="bottom"/>
          </w:tcPr>
          <w:p>
            <w:pPr>
              <w:ind w:left="160"/>
              <w:spacing w:after="0" w:line="742" w:lineRule="exact"/>
              <w:rPr>
                <w:sz w:val="20"/>
                <w:szCs w:val="20"/>
                <w:color w:val="auto"/>
              </w:rPr>
            </w:pPr>
            <w:r>
              <w:rPr>
                <w:rFonts w:ascii="Arial" w:cs="Arial" w:eastAsia="Arial" w:hAnsi="Arial"/>
                <w:sz w:val="65"/>
                <w:szCs w:val="65"/>
                <w:color w:val="BFBFBF"/>
              </w:rPr>
              <w:t>~90</w:t>
            </w:r>
          </w:p>
        </w:tc>
      </w:tr>
      <w:tr>
        <w:trPr>
          <w:trHeight w:val="203"/>
        </w:trPr>
        <w:tc>
          <w:tcPr>
            <w:tcW w:w="80" w:type="dxa"/>
            <w:vAlign w:val="bottom"/>
            <w:shd w:val="clear" w:color="auto" w:fill="BFBFBF"/>
          </w:tcPr>
          <w:p>
            <w:pPr>
              <w:spacing w:after="0"/>
              <w:rPr>
                <w:sz w:val="17"/>
                <w:szCs w:val="17"/>
                <w:color w:val="auto"/>
              </w:rPr>
            </w:pPr>
          </w:p>
        </w:tc>
        <w:tc>
          <w:tcPr>
            <w:tcW w:w="44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Operating margin expansion, adjusted*</w:t>
            </w:r>
          </w:p>
        </w:tc>
        <w:tc>
          <w:tcPr>
            <w:tcW w:w="80" w:type="dxa"/>
            <w:vAlign w:val="bottom"/>
            <w:shd w:val="clear" w:color="auto" w:fill="BFBFBF"/>
          </w:tcPr>
          <w:p>
            <w:pPr>
              <w:spacing w:after="0"/>
              <w:rPr>
                <w:sz w:val="17"/>
                <w:szCs w:val="17"/>
                <w:color w:val="auto"/>
              </w:rPr>
            </w:pPr>
          </w:p>
        </w:tc>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Active clinical development programs**</w:t>
            </w:r>
          </w:p>
        </w:tc>
      </w:tr>
      <w:tr>
        <w:trPr>
          <w:trHeight w:val="203"/>
        </w:trPr>
        <w:tc>
          <w:tcPr>
            <w:tcW w:w="80" w:type="dxa"/>
            <w:vAlign w:val="bottom"/>
            <w:shd w:val="clear" w:color="auto" w:fill="BFBFBF"/>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  focused on immunology, oncology, aesthetics,</w:t>
            </w:r>
          </w:p>
        </w:tc>
      </w:tr>
      <w:tr>
        <w:trPr>
          <w:trHeight w:val="203"/>
        </w:trPr>
        <w:tc>
          <w:tcPr>
            <w:tcW w:w="80" w:type="dxa"/>
            <w:vAlign w:val="bottom"/>
            <w:shd w:val="clear" w:color="auto" w:fill="BFBFBF"/>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BFBFBF"/>
          </w:tcPr>
          <w:p>
            <w:pPr>
              <w:spacing w:after="0"/>
              <w:rPr>
                <w:sz w:val="17"/>
                <w:szCs w:val="17"/>
                <w:color w:val="auto"/>
              </w:rPr>
            </w:pPr>
          </w:p>
        </w:tc>
        <w:tc>
          <w:tcPr>
            <w:tcW w:w="4480" w:type="dxa"/>
            <w:vAlign w:val="bottom"/>
          </w:tcPr>
          <w:p>
            <w:pPr>
              <w:ind w:left="160"/>
              <w:spacing w:after="0" w:line="203" w:lineRule="exact"/>
              <w:rPr>
                <w:sz w:val="20"/>
                <w:szCs w:val="20"/>
                <w:color w:val="auto"/>
              </w:rPr>
            </w:pPr>
            <w:r>
              <w:rPr>
                <w:rFonts w:ascii="Arial" w:cs="Arial" w:eastAsia="Arial" w:hAnsi="Arial"/>
                <w:sz w:val="18"/>
                <w:szCs w:val="18"/>
                <w:color w:val="auto"/>
              </w:rPr>
              <w:t>neuroscience, and eye care</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measures set forth above were calculated as of December 31, 2021.</w:t>
      </w:r>
    </w:p>
    <w:p>
      <w:pPr>
        <w:spacing w:after="0" w:line="60"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*Net revenues, diluted earnings per share, and operating margin are adjusted to exclude certain specified items and are non-GAAP measures, which are reconciled in Appendix B.</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 development individually or under collaboration or license agreements</w:t>
      </w:r>
    </w:p>
    <w:p>
      <w:pPr>
        <w:spacing w:after="0" w:line="153" w:lineRule="exact"/>
        <w:rPr>
          <w:sz w:val="20"/>
          <w:szCs w:val="20"/>
          <w:color w:val="auto"/>
        </w:rPr>
      </w:pPr>
    </w:p>
    <w:tbl>
      <w:tblPr>
        <w:tblLayout w:type="fixed"/>
        <w:tblInd w:w="1300" w:type="dxa"/>
        <w:tblCellMar>
          <w:top w:w="0" w:type="dxa"/>
          <w:left w:w="0" w:type="dxa"/>
          <w:bottom w:w="0" w:type="dxa"/>
          <w:right w:w="0" w:type="dxa"/>
        </w:tblCellMar>
      </w:tblPr>
      <w:tr>
        <w:trPr>
          <w:trHeight w:val="285"/>
        </w:trPr>
        <w:tc>
          <w:tcPr>
            <w:tcW w:w="3720" w:type="dxa"/>
            <w:vAlign w:val="bottom"/>
          </w:tcPr>
          <w:p>
            <w:pPr>
              <w:spacing w:after="0"/>
              <w:rPr>
                <w:sz w:val="20"/>
                <w:szCs w:val="20"/>
                <w:color w:val="auto"/>
              </w:rPr>
            </w:pPr>
            <w:r>
              <w:rPr>
                <w:rFonts w:ascii="Arial" w:cs="Arial" w:eastAsia="Arial" w:hAnsi="Arial"/>
                <w:sz w:val="22"/>
                <w:szCs w:val="22"/>
                <w:b w:val="1"/>
                <w:bCs w:val="1"/>
                <w:color w:val="071D49"/>
              </w:rPr>
              <w:t>Adjusted Net Revenues*</w:t>
            </w:r>
          </w:p>
        </w:tc>
        <w:tc>
          <w:tcPr>
            <w:tcW w:w="2760" w:type="dxa"/>
            <w:vAlign w:val="bottom"/>
          </w:tcPr>
          <w:p>
            <w:pPr>
              <w:ind w:left="1260"/>
              <w:spacing w:after="0"/>
              <w:rPr>
                <w:sz w:val="20"/>
                <w:szCs w:val="20"/>
                <w:color w:val="auto"/>
              </w:rPr>
            </w:pPr>
            <w:r>
              <w:rPr>
                <w:rFonts w:ascii="Arial" w:cs="Arial" w:eastAsia="Arial" w:hAnsi="Arial"/>
                <w:sz w:val="22"/>
                <w:szCs w:val="22"/>
                <w:b w:val="1"/>
                <w:bCs w:val="1"/>
                <w:color w:val="071D49"/>
                <w:w w:val="96"/>
              </w:rPr>
              <w:t>Adjusted EPS*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-160020</wp:posOffset>
            </wp:positionV>
            <wp:extent cx="5503545" cy="2023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35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1" w:type="dxa"/>
        <w:tblCellMar>
          <w:top w:w="0" w:type="dxa"/>
          <w:left w:w="0" w:type="dxa"/>
          <w:bottom w:w="0" w:type="dxa"/>
          <w:right w:w="0" w:type="dxa"/>
        </w:tblCellMar>
      </w:tblPr>
      <w:tr>
        <w:trPr>
          <w:trHeight w:val="420"/>
        </w:trPr>
        <w:tc>
          <w:tcPr>
            <w:tcW w:w="161" w:type="dxa"/>
            <w:vAlign w:val="bottom"/>
            <w:textDirection w:val="btLr"/>
          </w:tcPr>
          <w:p>
            <w:pPr>
              <w:spacing w:after="0"/>
              <w:rPr>
                <w:sz w:val="20"/>
                <w:szCs w:val="20"/>
                <w:color w:val="auto"/>
              </w:rPr>
            </w:pPr>
            <w:r>
              <w:rPr>
                <w:rFonts w:ascii="Arial" w:cs="Arial" w:eastAsia="Arial" w:hAnsi="Arial"/>
                <w:sz w:val="14"/>
                <w:szCs w:val="14"/>
                <w:color w:val="auto"/>
              </w:rPr>
              <w:t>($BN)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*Net revenues and diluted earnings per share are adjusted for specified items, including the impact of intangible asset amortization, and are non-GAAP measures, which are reconciled in Appendix B.</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240" w:type="dxa"/>
            <w:vAlign w:val="bottom"/>
          </w:tcPr>
          <w:p>
            <w:pPr>
              <w:ind w:left="52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35"/>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-548005</wp:posOffset>
            </wp:positionV>
            <wp:extent cx="874395"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PROXY SUMMARY</w:t>
      </w:r>
    </w:p>
    <w:p>
      <w:pPr>
        <w:spacing w:after="0" w:line="166" w:lineRule="exact"/>
        <w:rPr>
          <w:sz w:val="20"/>
          <w:szCs w:val="20"/>
          <w:color w:val="auto"/>
        </w:rPr>
      </w:pPr>
    </w:p>
    <w:p>
      <w:pPr>
        <w:ind w:right="1060"/>
        <w:spacing w:after="0" w:line="261" w:lineRule="auto"/>
        <w:rPr>
          <w:sz w:val="20"/>
          <w:szCs w:val="20"/>
          <w:color w:val="auto"/>
        </w:rPr>
      </w:pPr>
      <w:r>
        <w:rPr>
          <w:rFonts w:ascii="Arial" w:cs="Arial" w:eastAsia="Arial" w:hAnsi="Arial"/>
          <w:sz w:val="22"/>
          <w:szCs w:val="22"/>
          <w:b w:val="1"/>
          <w:bCs w:val="1"/>
          <w:color w:val="071D49"/>
        </w:rPr>
        <w:t>Since its launch in 2013, AbbVie has demonstrated an outstanding track record, consistently delivering top-tier results</w:t>
      </w:r>
    </w:p>
    <w:p>
      <w:pPr>
        <w:spacing w:after="0" w:line="179"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4400" w:type="dxa"/>
            <w:vAlign w:val="bottom"/>
          </w:tcPr>
          <w:p>
            <w:pPr>
              <w:spacing w:after="0"/>
              <w:rPr>
                <w:sz w:val="20"/>
                <w:szCs w:val="20"/>
                <w:color w:val="auto"/>
              </w:rPr>
            </w:pPr>
            <w:r>
              <w:rPr>
                <w:rFonts w:ascii="Arial" w:cs="Arial" w:eastAsia="Arial" w:hAnsi="Arial"/>
                <w:sz w:val="18"/>
                <w:szCs w:val="18"/>
                <w:color w:val="auto"/>
              </w:rPr>
              <w:t>AbbVie has delivered a strong compound annual</w:t>
            </w:r>
          </w:p>
        </w:tc>
        <w:tc>
          <w:tcPr>
            <w:tcW w:w="4700" w:type="dxa"/>
            <w:vAlign w:val="bottom"/>
            <w:shd w:val="clear" w:color="auto" w:fill="071D49"/>
          </w:tcPr>
          <w:p>
            <w:pPr>
              <w:ind w:left="380"/>
              <w:spacing w:after="0"/>
              <w:rPr>
                <w:sz w:val="20"/>
                <w:szCs w:val="20"/>
                <w:color w:val="auto"/>
              </w:rPr>
            </w:pPr>
            <w:r>
              <w:rPr>
                <w:rFonts w:ascii="Arial" w:cs="Arial" w:eastAsia="Arial" w:hAnsi="Arial"/>
                <w:sz w:val="18"/>
                <w:szCs w:val="18"/>
                <w:b w:val="1"/>
                <w:bCs w:val="1"/>
                <w:color w:val="FFFFFF"/>
              </w:rPr>
              <w:t>Total stockholder return (TSR) since inception</w:t>
            </w:r>
          </w:p>
        </w:tc>
      </w:tr>
      <w:tr>
        <w:trPr>
          <w:trHeight w:val="188"/>
        </w:trPr>
        <w:tc>
          <w:tcPr>
            <w:tcW w:w="4400" w:type="dxa"/>
            <w:vAlign w:val="bottom"/>
          </w:tcPr>
          <w:p>
            <w:pPr>
              <w:spacing w:after="0" w:line="189" w:lineRule="exact"/>
              <w:rPr>
                <w:sz w:val="20"/>
                <w:szCs w:val="20"/>
                <w:color w:val="auto"/>
              </w:rPr>
            </w:pPr>
            <w:r>
              <w:rPr>
                <w:rFonts w:ascii="Arial" w:cs="Arial" w:eastAsia="Arial" w:hAnsi="Arial"/>
                <w:sz w:val="18"/>
                <w:szCs w:val="18"/>
                <w:color w:val="auto"/>
              </w:rPr>
              <w:t>growth rate (CAGR) since inception on adjusted net</w:t>
            </w:r>
          </w:p>
        </w:tc>
        <w:tc>
          <w:tcPr>
            <w:tcW w:w="4700" w:type="dxa"/>
            <w:vAlign w:val="bottom"/>
          </w:tcPr>
          <w:p>
            <w:pPr>
              <w:spacing w:after="0"/>
              <w:rPr>
                <w:sz w:val="16"/>
                <w:szCs w:val="16"/>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revenues and adjusted diluted earnings per share</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(EPS), placing AbbVie in the top tier of its Health Care</w:t>
            </w:r>
          </w:p>
        </w:tc>
        <w:tc>
          <w:tcPr>
            <w:tcW w:w="4700" w:type="dxa"/>
            <w:vAlign w:val="bottom"/>
          </w:tcPr>
          <w:p>
            <w:pPr>
              <w:spacing w:after="0"/>
              <w:rPr>
                <w:sz w:val="17"/>
                <w:szCs w:val="17"/>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Peer Group.</w:t>
            </w:r>
          </w:p>
        </w:tc>
        <w:tc>
          <w:tcPr>
            <w:tcW w:w="4700" w:type="dxa"/>
            <w:vAlign w:val="bottom"/>
          </w:tcPr>
          <w:p>
            <w:pPr>
              <w:spacing w:after="0"/>
              <w:rPr>
                <w:sz w:val="18"/>
                <w:szCs w:val="18"/>
                <w:color w:val="auto"/>
              </w:rPr>
            </w:pPr>
          </w:p>
        </w:tc>
      </w:tr>
      <w:tr>
        <w:trPr>
          <w:trHeight w:val="269"/>
        </w:trPr>
        <w:tc>
          <w:tcPr>
            <w:tcW w:w="4400" w:type="dxa"/>
            <w:vAlign w:val="bottom"/>
          </w:tcPr>
          <w:p>
            <w:pPr>
              <w:spacing w:after="0"/>
              <w:rPr>
                <w:sz w:val="20"/>
                <w:szCs w:val="20"/>
                <w:color w:val="auto"/>
              </w:rPr>
            </w:pPr>
            <w:r>
              <w:rPr>
                <w:rFonts w:ascii="Arial" w:cs="Arial" w:eastAsia="Arial" w:hAnsi="Arial"/>
                <w:sz w:val="18"/>
                <w:szCs w:val="18"/>
                <w:color w:val="auto"/>
              </w:rPr>
              <w:t>Additionally, AbbVie is committed to a robust return of</w:t>
            </w:r>
          </w:p>
        </w:tc>
        <w:tc>
          <w:tcPr>
            <w:tcW w:w="4700" w:type="dxa"/>
            <w:vAlign w:val="bottom"/>
          </w:tcPr>
          <w:p>
            <w:pPr>
              <w:spacing w:after="0"/>
              <w:rPr>
                <w:sz w:val="23"/>
                <w:szCs w:val="23"/>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capital to stockholders with an increase of more than</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250% in its quarterly dividend since 2013 as part of a</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balanced and disciplined capital allocation program.</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AbbVie’s total stockholder return (TSR) since inception</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of 474.7% also places AbbVie in the top tier of its</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Health Care Peer Group, and more than</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175 percentage points above the Standard &amp; Poor’s</w:t>
            </w:r>
          </w:p>
        </w:tc>
        <w:tc>
          <w:tcPr>
            <w:tcW w:w="4700" w:type="dxa"/>
            <w:vAlign w:val="bottom"/>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500 Index and 285 percentage points above the NYSE</w:t>
            </w:r>
          </w:p>
        </w:tc>
        <w:tc>
          <w:tcPr>
            <w:tcW w:w="4700" w:type="dxa"/>
            <w:vAlign w:val="bottom"/>
          </w:tcPr>
          <w:p>
            <w:pPr>
              <w:spacing w:after="0"/>
              <w:rPr>
                <w:sz w:val="17"/>
                <w:szCs w:val="17"/>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Arca Pharmaceutical Index over the same time period.</w:t>
            </w:r>
          </w:p>
        </w:tc>
        <w:tc>
          <w:tcPr>
            <w:tcW w:w="4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-1774190</wp:posOffset>
            </wp:positionV>
            <wp:extent cx="2905760" cy="1688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5760" cy="1688465"/>
                    </a:xfrm>
                    <a:prstGeom prst="rect">
                      <a:avLst/>
                    </a:prstGeom>
                    <a:noFill/>
                  </pic:spPr>
                </pic:pic>
              </a:graphicData>
            </a:graphic>
          </wp:anchor>
        </w:drawing>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FFFFFF"/>
        </w:rPr>
        <w:t>AbbVie Rankings* vs.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587184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1845" cy="18859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20" w:type="dxa"/>
            <w:vAlign w:val="bottom"/>
          </w:tcPr>
          <w:p>
            <w:pPr>
              <w:spacing w:after="0"/>
              <w:rPr>
                <w:sz w:val="24"/>
                <w:szCs w:val="24"/>
                <w:color w:val="auto"/>
              </w:rPr>
            </w:pPr>
          </w:p>
        </w:tc>
        <w:tc>
          <w:tcPr>
            <w:tcW w:w="3800" w:type="dxa"/>
            <w:vAlign w:val="bottom"/>
          </w:tcPr>
          <w:p>
            <w:pPr>
              <w:ind w:left="940"/>
              <w:spacing w:after="0"/>
              <w:rPr>
                <w:sz w:val="20"/>
                <w:szCs w:val="20"/>
                <w:color w:val="auto"/>
              </w:rPr>
            </w:pPr>
            <w:r>
              <w:rPr>
                <w:rFonts w:ascii="Arial" w:cs="Arial" w:eastAsia="Arial" w:hAnsi="Arial"/>
                <w:sz w:val="25"/>
                <w:szCs w:val="25"/>
                <w:b w:val="1"/>
                <w:bCs w:val="1"/>
                <w:color w:val="auto"/>
              </w:rPr>
              <w:t>% Revenue Growth</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gridSpan w:val="3"/>
          </w:tcPr>
          <w:p>
            <w:pPr>
              <w:ind w:left="720"/>
              <w:spacing w:after="0"/>
              <w:rPr>
                <w:sz w:val="20"/>
                <w:szCs w:val="20"/>
                <w:color w:val="auto"/>
              </w:rPr>
            </w:pPr>
            <w:r>
              <w:rPr>
                <w:rFonts w:ascii="Arial" w:cs="Arial" w:eastAsia="Arial" w:hAnsi="Arial"/>
                <w:sz w:val="25"/>
                <w:szCs w:val="25"/>
                <w:b w:val="1"/>
                <w:bCs w:val="1"/>
                <w:color w:val="auto"/>
              </w:rPr>
              <w:t>% Adjusted EPS Growth</w:t>
            </w:r>
          </w:p>
        </w:tc>
        <w:tc>
          <w:tcPr>
            <w:tcW w:w="0" w:type="dxa"/>
            <w:vAlign w:val="bottom"/>
          </w:tcPr>
          <w:p>
            <w:pPr>
              <w:spacing w:after="0"/>
              <w:rPr>
                <w:sz w:val="1"/>
                <w:szCs w:val="1"/>
                <w:color w:val="auto"/>
              </w:rPr>
            </w:pPr>
          </w:p>
        </w:tc>
      </w:tr>
      <w:tr>
        <w:trPr>
          <w:trHeight w:val="10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2021</w:t>
            </w:r>
          </w:p>
        </w:tc>
        <w:tc>
          <w:tcPr>
            <w:tcW w:w="4560" w:type="dxa"/>
            <w:vAlign w:val="bottom"/>
            <w:gridSpan w:val="4"/>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760" w:type="dxa"/>
            <w:vAlign w:val="bottom"/>
            <w:tcBorders>
              <w:right w:val="single" w:sz="8" w:color="071D49"/>
            </w:tcBorders>
            <w:gridSpan w:val="2"/>
          </w:tcPr>
          <w:p>
            <w:pPr>
              <w:spacing w:after="0"/>
              <w:rPr>
                <w:sz w:val="21"/>
                <w:szCs w:val="21"/>
                <w:color w:val="auto"/>
              </w:rPr>
            </w:pPr>
          </w:p>
        </w:tc>
        <w:tc>
          <w:tcPr>
            <w:tcW w:w="3800" w:type="dxa"/>
            <w:vAlign w:val="bottom"/>
            <w:gridSpan w:val="2"/>
          </w:tcPr>
          <w:p>
            <w:pPr>
              <w:ind w:left="32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Borders>
              <w:right w:val="single" w:sz="8" w:color="071D49"/>
            </w:tcBorders>
          </w:tcPr>
          <w:p>
            <w:pPr>
              <w:spacing w:after="0"/>
              <w:rPr>
                <w:sz w:val="2"/>
                <w:szCs w:val="2"/>
                <w:color w:val="auto"/>
              </w:rPr>
            </w:pPr>
          </w:p>
        </w:tc>
        <w:tc>
          <w:tcPr>
            <w:tcW w:w="3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shd w:val="clear" w:color="auto" w:fill="071D49"/>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340" w:type="dxa"/>
            <w:vAlign w:val="bottom"/>
            <w:tcBorders>
              <w:right w:val="single" w:sz="8" w:color="071D49"/>
            </w:tcBorders>
            <w:vMerge w:val="restart"/>
          </w:tcPr>
          <w:p>
            <w:pPr>
              <w:spacing w:after="0"/>
              <w:rPr>
                <w:sz w:val="17"/>
                <w:szCs w:val="17"/>
                <w:color w:val="auto"/>
              </w:rPr>
            </w:pPr>
          </w:p>
        </w:tc>
        <w:tc>
          <w:tcPr>
            <w:tcW w:w="320" w:type="dxa"/>
            <w:vAlign w:val="bottom"/>
            <w:vMerge w:val="restart"/>
          </w:tcPr>
          <w:p>
            <w:pPr>
              <w:spacing w:after="0"/>
              <w:rPr>
                <w:sz w:val="17"/>
                <w:szCs w:val="17"/>
                <w:color w:val="auto"/>
              </w:rPr>
            </w:pPr>
          </w:p>
        </w:tc>
        <w:tc>
          <w:tcPr>
            <w:tcW w:w="3480" w:type="dxa"/>
            <w:vAlign w:val="bottom"/>
            <w:shd w:val="clear" w:color="auto" w:fill="071D49"/>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20" w:type="dxa"/>
            <w:vAlign w:val="bottom"/>
            <w:vMerge w:val="continue"/>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29"/>
                <w:szCs w:val="29"/>
                <w:b w:val="1"/>
                <w:bCs w:val="1"/>
                <w:color w:val="071D49"/>
              </w:rPr>
              <w:t>2</w:t>
            </w:r>
            <w:r>
              <w:rPr>
                <w:rFonts w:ascii="Arial" w:cs="Arial" w:eastAsia="Arial" w:hAnsi="Arial"/>
                <w:sz w:val="43"/>
                <w:szCs w:val="43"/>
                <w:b w:val="1"/>
                <w:bCs w:val="1"/>
                <w:color w:val="071D49"/>
                <w:vertAlign w:val="superscript"/>
              </w:rPr>
              <w:t>nd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20" w:type="dxa"/>
            <w:vAlign w:val="bottom"/>
          </w:tcPr>
          <w:p>
            <w:pPr>
              <w:spacing w:after="0"/>
              <w:rPr>
                <w:sz w:val="24"/>
                <w:szCs w:val="24"/>
                <w:color w:val="auto"/>
              </w:rPr>
            </w:pPr>
          </w:p>
        </w:tc>
        <w:tc>
          <w:tcPr>
            <w:tcW w:w="340" w:type="dxa"/>
            <w:vAlign w:val="bottom"/>
            <w:tcBorders>
              <w:right w:val="single" w:sz="8" w:color="071D49"/>
            </w:tcBorders>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29"/>
                <w:szCs w:val="29"/>
                <w:b w:val="1"/>
                <w:bCs w:val="1"/>
                <w:color w:val="071D49"/>
              </w:rPr>
              <w:t>3</w:t>
            </w:r>
            <w:r>
              <w:rPr>
                <w:rFonts w:ascii="Arial" w:cs="Arial" w:eastAsia="Arial" w:hAnsi="Arial"/>
                <w:sz w:val="43"/>
                <w:szCs w:val="43"/>
                <w:b w:val="1"/>
                <w:bCs w:val="1"/>
                <w:color w:val="071D49"/>
                <w:vertAlign w:val="superscript"/>
              </w:rPr>
              <w:t>rd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3 Years</w:t>
            </w:r>
          </w:p>
        </w:tc>
        <w:tc>
          <w:tcPr>
            <w:tcW w:w="420" w:type="dxa"/>
            <w:vAlign w:val="bottom"/>
          </w:tcPr>
          <w:p>
            <w:pPr>
              <w:spacing w:after="0"/>
              <w:rPr>
                <w:sz w:val="20"/>
                <w:szCs w:val="20"/>
                <w:color w:val="auto"/>
              </w:rPr>
            </w:pPr>
          </w:p>
        </w:tc>
        <w:tc>
          <w:tcPr>
            <w:tcW w:w="340" w:type="dxa"/>
            <w:vAlign w:val="bottom"/>
            <w:tcBorders>
              <w:right w:val="single" w:sz="8" w:color="071D49"/>
            </w:tcBorders>
          </w:tcPr>
          <w:p>
            <w:pPr>
              <w:spacing w:after="0"/>
              <w:rPr>
                <w:sz w:val="20"/>
                <w:szCs w:val="20"/>
                <w:color w:val="auto"/>
              </w:rPr>
            </w:pPr>
          </w:p>
        </w:tc>
        <w:tc>
          <w:tcPr>
            <w:tcW w:w="4680" w:type="dxa"/>
            <w:vAlign w:val="bottom"/>
            <w:gridSpan w:val="4"/>
          </w:tcPr>
          <w:p>
            <w:pPr>
              <w:ind w:left="320"/>
              <w:spacing w:after="0"/>
              <w:rPr>
                <w:sz w:val="20"/>
                <w:szCs w:val="20"/>
                <w:color w:val="auto"/>
              </w:rPr>
            </w:pPr>
            <w:r>
              <w:rPr>
                <w:rFonts w:ascii="Arial" w:cs="Arial" w:eastAsia="Arial" w:hAnsi="Arial"/>
                <w:sz w:val="18"/>
                <w:szCs w:val="18"/>
                <w:b w:val="1"/>
                <w:bCs w:val="1"/>
                <w:color w:val="auto"/>
              </w:rPr>
              <w:t>3 Years</w:t>
            </w:r>
          </w:p>
        </w:tc>
        <w:tc>
          <w:tcPr>
            <w:tcW w:w="0" w:type="dxa"/>
            <w:vAlign w:val="bottom"/>
          </w:tcPr>
          <w:p>
            <w:pPr>
              <w:spacing w:after="0"/>
              <w:rPr>
                <w:sz w:val="1"/>
                <w:szCs w:val="1"/>
                <w:color w:val="auto"/>
              </w:rPr>
            </w:pPr>
          </w:p>
        </w:tc>
      </w:tr>
      <w:tr>
        <w:trPr>
          <w:trHeight w:val="27"/>
        </w:trPr>
        <w:tc>
          <w:tcPr>
            <w:tcW w:w="38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Borders>
              <w:right w:val="single" w:sz="8" w:color="071D49"/>
            </w:tcBorders>
          </w:tcPr>
          <w:p>
            <w:pPr>
              <w:spacing w:after="0"/>
              <w:rPr>
                <w:sz w:val="2"/>
                <w:szCs w:val="2"/>
                <w:color w:val="auto"/>
              </w:rPr>
            </w:pPr>
          </w:p>
        </w:tc>
        <w:tc>
          <w:tcPr>
            <w:tcW w:w="424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shd w:val="clear" w:color="auto" w:fill="071D49"/>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340" w:type="dxa"/>
            <w:vAlign w:val="bottom"/>
            <w:tcBorders>
              <w:right w:val="single" w:sz="8" w:color="071D49"/>
            </w:tcBorders>
            <w:vMerge w:val="restart"/>
          </w:tcPr>
          <w:p>
            <w:pPr>
              <w:spacing w:after="0"/>
              <w:rPr>
                <w:sz w:val="17"/>
                <w:szCs w:val="17"/>
                <w:color w:val="auto"/>
              </w:rPr>
            </w:pPr>
          </w:p>
        </w:tc>
        <w:tc>
          <w:tcPr>
            <w:tcW w:w="320" w:type="dxa"/>
            <w:vAlign w:val="bottom"/>
            <w:vMerge w:val="restart"/>
          </w:tcPr>
          <w:p>
            <w:pPr>
              <w:spacing w:after="0"/>
              <w:rPr>
                <w:sz w:val="17"/>
                <w:szCs w:val="17"/>
                <w:color w:val="auto"/>
              </w:rPr>
            </w:pPr>
          </w:p>
        </w:tc>
        <w:tc>
          <w:tcPr>
            <w:tcW w:w="3920" w:type="dxa"/>
            <w:vAlign w:val="bottom"/>
            <w:gridSpan w:val="2"/>
            <w:shd w:val="clear" w:color="auto" w:fill="071D49"/>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20" w:type="dxa"/>
            <w:vAlign w:val="bottom"/>
            <w:vMerge w:val="continue"/>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29"/>
                <w:szCs w:val="29"/>
                <w:b w:val="1"/>
                <w:bCs w:val="1"/>
                <w:color w:val="071D49"/>
              </w:rPr>
              <w:t>2</w:t>
            </w:r>
            <w:r>
              <w:rPr>
                <w:rFonts w:ascii="Arial" w:cs="Arial" w:eastAsia="Arial" w:hAnsi="Arial"/>
                <w:sz w:val="43"/>
                <w:szCs w:val="43"/>
                <w:b w:val="1"/>
                <w:bCs w:val="1"/>
                <w:color w:val="071D49"/>
                <w:vertAlign w:val="superscript"/>
              </w:rPr>
              <w:t>nd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20" w:type="dxa"/>
            <w:vAlign w:val="bottom"/>
          </w:tcPr>
          <w:p>
            <w:pPr>
              <w:spacing w:after="0"/>
              <w:rPr>
                <w:sz w:val="24"/>
                <w:szCs w:val="24"/>
                <w:color w:val="auto"/>
              </w:rPr>
            </w:pPr>
          </w:p>
        </w:tc>
        <w:tc>
          <w:tcPr>
            <w:tcW w:w="340" w:type="dxa"/>
            <w:vAlign w:val="bottom"/>
            <w:tcBorders>
              <w:right w:val="single" w:sz="8" w:color="071D49"/>
            </w:tcBorders>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9"/>
                <w:szCs w:val="29"/>
                <w:b w:val="1"/>
                <w:bCs w:val="1"/>
                <w:color w:val="071D49"/>
              </w:rPr>
              <w:t>2</w:t>
            </w:r>
            <w:r>
              <w:rPr>
                <w:rFonts w:ascii="Arial" w:cs="Arial" w:eastAsia="Arial" w:hAnsi="Arial"/>
                <w:sz w:val="43"/>
                <w:szCs w:val="43"/>
                <w:b w:val="1"/>
                <w:bCs w:val="1"/>
                <w:color w:val="071D49"/>
                <w:vertAlign w:val="superscript"/>
              </w:rPr>
              <w:t>nd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5 Years</w:t>
            </w:r>
          </w:p>
        </w:tc>
        <w:tc>
          <w:tcPr>
            <w:tcW w:w="420" w:type="dxa"/>
            <w:vAlign w:val="bottom"/>
          </w:tcPr>
          <w:p>
            <w:pPr>
              <w:spacing w:after="0"/>
              <w:rPr>
                <w:sz w:val="20"/>
                <w:szCs w:val="20"/>
                <w:color w:val="auto"/>
              </w:rPr>
            </w:pPr>
          </w:p>
        </w:tc>
        <w:tc>
          <w:tcPr>
            <w:tcW w:w="340" w:type="dxa"/>
            <w:vAlign w:val="bottom"/>
            <w:tcBorders>
              <w:right w:val="single" w:sz="8" w:color="071D49"/>
            </w:tcBorders>
          </w:tcPr>
          <w:p>
            <w:pPr>
              <w:spacing w:after="0"/>
              <w:rPr>
                <w:sz w:val="20"/>
                <w:szCs w:val="20"/>
                <w:color w:val="auto"/>
              </w:rPr>
            </w:pPr>
          </w:p>
        </w:tc>
        <w:tc>
          <w:tcPr>
            <w:tcW w:w="4680" w:type="dxa"/>
            <w:vAlign w:val="bottom"/>
            <w:gridSpan w:val="4"/>
          </w:tcPr>
          <w:p>
            <w:pPr>
              <w:ind w:left="32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7"/>
        </w:trPr>
        <w:tc>
          <w:tcPr>
            <w:tcW w:w="38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Borders>
              <w:right w:val="single" w:sz="8" w:color="071D49"/>
            </w:tcBorders>
          </w:tcPr>
          <w:p>
            <w:pPr>
              <w:spacing w:after="0"/>
              <w:rPr>
                <w:sz w:val="2"/>
                <w:szCs w:val="2"/>
                <w:color w:val="auto"/>
              </w:rPr>
            </w:pPr>
          </w:p>
        </w:tc>
        <w:tc>
          <w:tcPr>
            <w:tcW w:w="4680" w:type="dxa"/>
            <w:vAlign w:val="bottom"/>
            <w:gridSpan w:val="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3800" w:type="dxa"/>
            <w:vAlign w:val="bottom"/>
            <w:shd w:val="clear" w:color="auto" w:fill="071D49"/>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340" w:type="dxa"/>
            <w:vAlign w:val="bottom"/>
            <w:tcBorders>
              <w:right w:val="single" w:sz="8" w:color="071D49"/>
            </w:tcBorders>
            <w:vMerge w:val="restart"/>
          </w:tcPr>
          <w:p>
            <w:pPr>
              <w:spacing w:after="0"/>
              <w:rPr>
                <w:sz w:val="17"/>
                <w:szCs w:val="17"/>
                <w:color w:val="auto"/>
              </w:rPr>
            </w:pPr>
          </w:p>
        </w:tc>
        <w:tc>
          <w:tcPr>
            <w:tcW w:w="320" w:type="dxa"/>
            <w:vAlign w:val="bottom"/>
            <w:vMerge w:val="restart"/>
          </w:tcPr>
          <w:p>
            <w:pPr>
              <w:spacing w:after="0"/>
              <w:rPr>
                <w:sz w:val="17"/>
                <w:szCs w:val="17"/>
                <w:color w:val="auto"/>
              </w:rPr>
            </w:pPr>
          </w:p>
        </w:tc>
        <w:tc>
          <w:tcPr>
            <w:tcW w:w="3920" w:type="dxa"/>
            <w:vAlign w:val="bottom"/>
            <w:gridSpan w:val="2"/>
            <w:shd w:val="clear" w:color="auto" w:fill="071D49"/>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vMerge w:val="continue"/>
          </w:tcPr>
          <w:p>
            <w:pPr>
              <w:spacing w:after="0"/>
              <w:rPr>
                <w:sz w:val="24"/>
                <w:szCs w:val="24"/>
                <w:color w:val="auto"/>
              </w:rPr>
            </w:pPr>
          </w:p>
        </w:tc>
        <w:tc>
          <w:tcPr>
            <w:tcW w:w="3800" w:type="dxa"/>
            <w:vAlign w:val="bottom"/>
          </w:tcPr>
          <w:p>
            <w:pPr>
              <w:spacing w:after="0" w:line="404" w:lineRule="exact"/>
              <w:rPr>
                <w:sz w:val="20"/>
                <w:szCs w:val="20"/>
                <w:color w:val="auto"/>
              </w:rPr>
            </w:pPr>
            <w:r>
              <w:rPr>
                <w:rFonts w:ascii="Arial" w:cs="Arial" w:eastAsia="Arial" w:hAnsi="Arial"/>
                <w:sz w:val="29"/>
                <w:szCs w:val="29"/>
                <w:b w:val="1"/>
                <w:bCs w:val="1"/>
                <w:color w:val="071D49"/>
              </w:rPr>
              <w:t>2</w:t>
            </w:r>
            <w:r>
              <w:rPr>
                <w:rFonts w:ascii="Arial" w:cs="Arial" w:eastAsia="Arial" w:hAnsi="Arial"/>
                <w:sz w:val="43"/>
                <w:szCs w:val="43"/>
                <w:b w:val="1"/>
                <w:bCs w:val="1"/>
                <w:color w:val="071D49"/>
                <w:vertAlign w:val="superscript"/>
              </w:rPr>
              <w:t>nd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20" w:type="dxa"/>
            <w:vAlign w:val="bottom"/>
          </w:tcPr>
          <w:p>
            <w:pPr>
              <w:spacing w:after="0"/>
              <w:rPr>
                <w:sz w:val="24"/>
                <w:szCs w:val="24"/>
                <w:color w:val="auto"/>
              </w:rPr>
            </w:pPr>
          </w:p>
        </w:tc>
        <w:tc>
          <w:tcPr>
            <w:tcW w:w="340" w:type="dxa"/>
            <w:vAlign w:val="bottom"/>
            <w:tcBorders>
              <w:right w:val="single" w:sz="8" w:color="071D49"/>
            </w:tcBorders>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3920" w:type="dxa"/>
            <w:vAlign w:val="bottom"/>
            <w:gridSpan w:val="2"/>
          </w:tcPr>
          <w:p>
            <w:pPr>
              <w:spacing w:after="0" w:line="404" w:lineRule="exact"/>
              <w:rPr>
                <w:sz w:val="20"/>
                <w:szCs w:val="20"/>
                <w:color w:val="auto"/>
              </w:rPr>
            </w:pPr>
            <w:r>
              <w:rPr>
                <w:rFonts w:ascii="Arial" w:cs="Arial" w:eastAsia="Arial" w:hAnsi="Arial"/>
                <w:sz w:val="29"/>
                <w:szCs w:val="29"/>
                <w:b w:val="1"/>
                <w:bCs w:val="1"/>
                <w:color w:val="071D49"/>
              </w:rPr>
              <w:t>2</w:t>
            </w:r>
            <w:r>
              <w:rPr>
                <w:rFonts w:ascii="Arial" w:cs="Arial" w:eastAsia="Arial" w:hAnsi="Arial"/>
                <w:sz w:val="43"/>
                <w:szCs w:val="43"/>
                <w:b w:val="1"/>
                <w:bCs w:val="1"/>
                <w:color w:val="071D49"/>
                <w:vertAlign w:val="superscript"/>
              </w:rPr>
              <w:t>nd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071D49"/>
            </w:tcBorders>
          </w:tcPr>
          <w:p>
            <w:pPr>
              <w:spacing w:after="0"/>
              <w:rPr>
                <w:sz w:val="12"/>
                <w:szCs w:val="12"/>
                <w:color w:val="auto"/>
              </w:rPr>
            </w:pPr>
          </w:p>
        </w:tc>
        <w:tc>
          <w:tcPr>
            <w:tcW w:w="420" w:type="dxa"/>
            <w:vAlign w:val="bottom"/>
            <w:tcBorders>
              <w:bottom w:val="single" w:sz="8" w:color="071D49"/>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80" w:type="dxa"/>
            <w:vAlign w:val="bottom"/>
            <w:tcBorders>
              <w:bottom w:val="single" w:sz="8" w:color="071D49"/>
            </w:tcBorders>
          </w:tcPr>
          <w:p>
            <w:pPr>
              <w:spacing w:after="0"/>
              <w:rPr>
                <w:sz w:val="12"/>
                <w:szCs w:val="12"/>
                <w:color w:val="auto"/>
              </w:rPr>
            </w:pPr>
          </w:p>
        </w:tc>
        <w:tc>
          <w:tcPr>
            <w:tcW w:w="440" w:type="dxa"/>
            <w:vAlign w:val="bottom"/>
            <w:tcBorders>
              <w:bottom w:val="single" w:sz="8" w:color="071D49"/>
            </w:tcBorders>
          </w:tcPr>
          <w:p>
            <w:pPr>
              <w:spacing w:after="0"/>
              <w:rPr>
                <w:sz w:val="12"/>
                <w:szCs w:val="12"/>
                <w:color w:val="auto"/>
              </w:rPr>
            </w:pPr>
          </w:p>
        </w:tc>
        <w:tc>
          <w:tcPr>
            <w:tcW w:w="44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-7620</wp:posOffset>
            </wp:positionV>
            <wp:extent cx="17145" cy="2160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2160270"/>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-488315</wp:posOffset>
            </wp:positionV>
            <wp:extent cx="1714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-488315</wp:posOffset>
            </wp:positionV>
            <wp:extent cx="1714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-488315</wp:posOffset>
            </wp:positionV>
            <wp:extent cx="1714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-488315</wp:posOffset>
            </wp:positionV>
            <wp:extent cx="1714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-488315</wp:posOffset>
            </wp:positionV>
            <wp:extent cx="1714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-488315</wp:posOffset>
            </wp:positionV>
            <wp:extent cx="1714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-488315</wp:posOffset>
            </wp:positionV>
            <wp:extent cx="1714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-488315</wp:posOffset>
            </wp:positionV>
            <wp:extent cx="1714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-488315</wp:posOffset>
            </wp:positionV>
            <wp:extent cx="1714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-488315</wp:posOffset>
            </wp:positionV>
            <wp:extent cx="1714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-488315</wp:posOffset>
            </wp:positionV>
            <wp:extent cx="1714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-488315</wp:posOffset>
            </wp:positionV>
            <wp:extent cx="1714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-488315</wp:posOffset>
            </wp:positionV>
            <wp:extent cx="1714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-488315</wp:posOffset>
            </wp:positionV>
            <wp:extent cx="1714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-488315</wp:posOffset>
            </wp:positionV>
            <wp:extent cx="1714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-488315</wp:posOffset>
            </wp:positionV>
            <wp:extent cx="1714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-488315</wp:posOffset>
            </wp:positionV>
            <wp:extent cx="1714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-488315</wp:posOffset>
            </wp:positionV>
            <wp:extent cx="1714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-1130935</wp:posOffset>
            </wp:positionV>
            <wp:extent cx="1714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-1130935</wp:posOffset>
            </wp:positionV>
            <wp:extent cx="1714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-1130935</wp:posOffset>
            </wp:positionV>
            <wp:extent cx="1714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-1130935</wp:posOffset>
            </wp:positionV>
            <wp:extent cx="1714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-1130935</wp:posOffset>
            </wp:positionV>
            <wp:extent cx="1714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-1130935</wp:posOffset>
            </wp:positionV>
            <wp:extent cx="1714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-1130935</wp:posOffset>
            </wp:positionV>
            <wp:extent cx="1714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-1130935</wp:posOffset>
            </wp:positionV>
            <wp:extent cx="1714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-1130935</wp:posOffset>
            </wp:positionV>
            <wp:extent cx="1714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-1130935</wp:posOffset>
            </wp:positionV>
            <wp:extent cx="1714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-1130935</wp:posOffset>
            </wp:positionV>
            <wp:extent cx="1714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-1130935</wp:posOffset>
            </wp:positionV>
            <wp:extent cx="1714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-1130935</wp:posOffset>
            </wp:positionV>
            <wp:extent cx="1714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-1130935</wp:posOffset>
            </wp:positionV>
            <wp:extent cx="1714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-1130935</wp:posOffset>
            </wp:positionV>
            <wp:extent cx="1714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-1130935</wp:posOffset>
            </wp:positionV>
            <wp:extent cx="1714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-1130935</wp:posOffset>
            </wp:positionV>
            <wp:extent cx="1714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-1130935</wp:posOffset>
            </wp:positionV>
            <wp:extent cx="1714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-1773555</wp:posOffset>
            </wp:positionV>
            <wp:extent cx="1714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5593715</wp:posOffset>
            </wp:positionH>
            <wp:positionV relativeFrom="paragraph">
              <wp:posOffset>-1773555</wp:posOffset>
            </wp:positionV>
            <wp:extent cx="1714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-1773555</wp:posOffset>
            </wp:positionV>
            <wp:extent cx="1714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-1773555</wp:posOffset>
            </wp:positionV>
            <wp:extent cx="1714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-1773555</wp:posOffset>
            </wp:positionV>
            <wp:extent cx="1714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-1773555</wp:posOffset>
            </wp:positionV>
            <wp:extent cx="1714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4213225</wp:posOffset>
            </wp:positionH>
            <wp:positionV relativeFrom="paragraph">
              <wp:posOffset>-1773555</wp:posOffset>
            </wp:positionV>
            <wp:extent cx="1714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-1773555</wp:posOffset>
            </wp:positionV>
            <wp:extent cx="1714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-1773555</wp:posOffset>
            </wp:positionV>
            <wp:extent cx="1714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-1773555</wp:posOffset>
            </wp:positionV>
            <wp:extent cx="1714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-1773555</wp:posOffset>
            </wp:positionV>
            <wp:extent cx="1714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-1773555</wp:posOffset>
            </wp:positionV>
            <wp:extent cx="17145"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-1773555</wp:posOffset>
            </wp:positionV>
            <wp:extent cx="1714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-1773555</wp:posOffset>
            </wp:positionV>
            <wp:extent cx="1714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-1773555</wp:posOffset>
            </wp:positionV>
            <wp:extent cx="1714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-1773555</wp:posOffset>
            </wp:positionV>
            <wp:extent cx="1714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-1773555</wp:posOffset>
            </wp:positionV>
            <wp:extent cx="1714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-1773555</wp:posOffset>
            </wp:positionV>
            <wp:extent cx="1714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-1773555</wp:posOffset>
            </wp:positionV>
            <wp:extent cx="1714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128905"/>
                    </a:xfrm>
                    <a:prstGeom prst="rect">
                      <a:avLst/>
                    </a:prstGeom>
                    <a:noFill/>
                  </pic:spPr>
                </pic:pic>
              </a:graphicData>
            </a:graphic>
          </wp:anchor>
        </w:drawing>
        <w:drawing>
          <wp:anchor simplePos="0" relativeHeight="251657728" behindDoc="1" locked="0" layoutInCell="0" allowOverlap="1">
            <wp:simplePos x="0" y="0"/>
            <wp:positionH relativeFrom="column">
              <wp:posOffset>269875</wp:posOffset>
            </wp:positionH>
            <wp:positionV relativeFrom="paragraph">
              <wp:posOffset>-1773555</wp:posOffset>
            </wp:positionV>
            <wp:extent cx="1714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2890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78" w:lineRule="exact"/>
        <w:rPr>
          <w:sz w:val="20"/>
          <w:szCs w:val="20"/>
          <w:color w:val="auto"/>
        </w:rPr>
      </w:pPr>
    </w:p>
    <w:p>
      <w:pPr>
        <w:jc w:val="right"/>
        <w:ind w:right="580"/>
        <w:spacing w:after="0"/>
        <w:rPr>
          <w:sz w:val="20"/>
          <w:szCs w:val="20"/>
          <w:color w:val="auto"/>
        </w:rPr>
      </w:pPr>
      <w:r>
        <w:rPr>
          <w:rFonts w:ascii="Arial" w:cs="Arial" w:eastAsia="Arial" w:hAnsi="Arial"/>
          <w:sz w:val="25"/>
          <w:szCs w:val="25"/>
          <w:b w:val="1"/>
          <w:bCs w:val="1"/>
          <w:color w:val="auto"/>
        </w:rPr>
        <w:t>Total Stockholder Return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268287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2875" cy="1289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3</w:t>
      </w:r>
      <w:r>
        <w:rPr>
          <w:rFonts w:ascii="Arial" w:cs="Arial" w:eastAsia="Arial" w:hAnsi="Arial"/>
          <w:sz w:val="43"/>
          <w:szCs w:val="43"/>
          <w:b w:val="1"/>
          <w:bCs w:val="1"/>
          <w:color w:val="071D49"/>
          <w:vertAlign w:val="superscript"/>
        </w:rPr>
        <w:t>rd</w:t>
      </w:r>
      <w:r>
        <w:rPr>
          <w:rFonts w:ascii="Arial" w:cs="Arial" w:eastAsia="Arial" w:hAnsi="Arial"/>
          <w:sz w:val="29"/>
          <w:szCs w:val="29"/>
          <w:b w:val="1"/>
          <w:bCs w:val="1"/>
          <w:color w:val="071D49"/>
        </w:rPr>
        <w:t xml:space="preserve"> </w:t>
      </w:r>
      <w:r>
        <w:rPr>
          <w:rFonts w:ascii="Arial" w:cs="Arial" w:eastAsia="Arial" w:hAnsi="Arial"/>
          <w:sz w:val="17"/>
          <w:szCs w:val="17"/>
          <w:color w:val="000000"/>
        </w:rPr>
        <w:t>place out of 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268287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2875" cy="12890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268287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82875" cy="12890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220"/>
        <w:spacing w:after="0"/>
        <w:rPr>
          <w:sz w:val="20"/>
          <w:szCs w:val="20"/>
          <w:color w:val="auto"/>
        </w:rPr>
      </w:pPr>
      <w:r>
        <w:rPr>
          <w:rFonts w:ascii="Arial" w:cs="Arial" w:eastAsia="Arial" w:hAnsi="Arial"/>
          <w:sz w:val="25"/>
          <w:szCs w:val="25"/>
          <w:b w:val="1"/>
          <w:bCs w:val="1"/>
          <w:color w:val="auto"/>
        </w:rPr>
        <w:t>Our Peer Group</w:t>
      </w:r>
    </w:p>
    <w:p>
      <w:pPr>
        <w:spacing w:after="0" w:line="147" w:lineRule="exact"/>
        <w:rPr>
          <w:sz w:val="20"/>
          <w:szCs w:val="20"/>
          <w:color w:val="auto"/>
        </w:rPr>
      </w:pPr>
    </w:p>
    <w:p>
      <w:pPr>
        <w:jc w:val="center"/>
        <w:ind w:right="1440"/>
        <w:spacing w:after="0"/>
        <w:rPr>
          <w:sz w:val="20"/>
          <w:szCs w:val="20"/>
          <w:color w:val="auto"/>
        </w:rPr>
      </w:pPr>
      <w:r>
        <w:rPr>
          <w:rFonts w:ascii="Arial" w:cs="Arial" w:eastAsia="Arial" w:hAnsi="Arial"/>
          <w:sz w:val="17"/>
          <w:szCs w:val="17"/>
          <w:color w:val="auto"/>
        </w:rPr>
        <w:t>AbbVie’s peer group above includes: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Amgen, Inc.</w:t>
      </w:r>
    </w:p>
    <w:p>
      <w:pPr>
        <w:ind w:left="140"/>
        <w:spacing w:after="0" w:line="234" w:lineRule="auto"/>
        <w:rPr>
          <w:sz w:val="20"/>
          <w:szCs w:val="20"/>
          <w:color w:val="auto"/>
        </w:rPr>
      </w:pPr>
      <w:r>
        <w:rPr>
          <w:rFonts w:ascii="Arial" w:cs="Arial" w:eastAsia="Arial" w:hAnsi="Arial"/>
          <w:sz w:val="18"/>
          <w:szCs w:val="18"/>
          <w:color w:val="auto"/>
        </w:rPr>
        <w:t>Bristol-Myers Squibb Company</w:t>
      </w:r>
    </w:p>
    <w:p>
      <w:pPr>
        <w:ind w:left="140"/>
        <w:spacing w:after="0" w:line="235" w:lineRule="auto"/>
        <w:rPr>
          <w:sz w:val="20"/>
          <w:szCs w:val="20"/>
          <w:color w:val="auto"/>
        </w:rPr>
      </w:pPr>
      <w:r>
        <w:rPr>
          <w:rFonts w:ascii="Arial" w:cs="Arial" w:eastAsia="Arial" w:hAnsi="Arial"/>
          <w:sz w:val="18"/>
          <w:szCs w:val="18"/>
          <w:color w:val="auto"/>
        </w:rPr>
        <w:t>Eli Lilly and Company</w:t>
      </w:r>
    </w:p>
    <w:p>
      <w:pPr>
        <w:ind w:left="140"/>
        <w:spacing w:after="0" w:line="235" w:lineRule="auto"/>
        <w:rPr>
          <w:sz w:val="20"/>
          <w:szCs w:val="20"/>
          <w:color w:val="auto"/>
        </w:rPr>
      </w:pPr>
      <w:r>
        <w:rPr>
          <w:rFonts w:ascii="Arial" w:cs="Arial" w:eastAsia="Arial" w:hAnsi="Arial"/>
          <w:sz w:val="18"/>
          <w:szCs w:val="18"/>
          <w:color w:val="auto"/>
        </w:rPr>
        <w:t>Gilead Sciences, Inc.</w:t>
      </w:r>
    </w:p>
    <w:p>
      <w:pPr>
        <w:ind w:left="140"/>
        <w:spacing w:after="0" w:line="235" w:lineRule="auto"/>
        <w:rPr>
          <w:sz w:val="20"/>
          <w:szCs w:val="20"/>
          <w:color w:val="auto"/>
        </w:rPr>
      </w:pPr>
      <w:r>
        <w:rPr>
          <w:rFonts w:ascii="Arial" w:cs="Arial" w:eastAsia="Arial" w:hAnsi="Arial"/>
          <w:sz w:val="18"/>
          <w:szCs w:val="18"/>
          <w:color w:val="auto"/>
        </w:rPr>
        <w:t>GlaxoSmithKline plc</w:t>
      </w:r>
    </w:p>
    <w:p>
      <w:pPr>
        <w:ind w:left="140"/>
        <w:spacing w:after="0" w:line="235" w:lineRule="auto"/>
        <w:rPr>
          <w:sz w:val="20"/>
          <w:szCs w:val="20"/>
          <w:color w:val="auto"/>
        </w:rPr>
      </w:pPr>
      <w:r>
        <w:rPr>
          <w:rFonts w:ascii="Arial" w:cs="Arial" w:eastAsia="Arial" w:hAnsi="Arial"/>
          <w:sz w:val="18"/>
          <w:szCs w:val="18"/>
          <w:color w:val="auto"/>
        </w:rPr>
        <w:t>Johnson &amp; Johnson</w:t>
      </w:r>
    </w:p>
    <w:p>
      <w:pPr>
        <w:ind w:left="140"/>
        <w:spacing w:after="0" w:line="234" w:lineRule="auto"/>
        <w:rPr>
          <w:sz w:val="20"/>
          <w:szCs w:val="20"/>
          <w:color w:val="auto"/>
        </w:rPr>
      </w:pPr>
      <w:r>
        <w:rPr>
          <w:rFonts w:ascii="Arial" w:cs="Arial" w:eastAsia="Arial" w:hAnsi="Arial"/>
          <w:sz w:val="18"/>
          <w:szCs w:val="18"/>
          <w:color w:val="auto"/>
        </w:rPr>
        <w:t>Merck &amp; Company, Inc.</w:t>
      </w:r>
    </w:p>
    <w:p>
      <w:pPr>
        <w:ind w:left="140"/>
        <w:spacing w:after="0" w:line="235" w:lineRule="auto"/>
        <w:rPr>
          <w:sz w:val="20"/>
          <w:szCs w:val="20"/>
          <w:color w:val="auto"/>
        </w:rPr>
      </w:pPr>
      <w:r>
        <w:rPr>
          <w:rFonts w:ascii="Arial" w:cs="Arial" w:eastAsia="Arial" w:hAnsi="Arial"/>
          <w:sz w:val="18"/>
          <w:szCs w:val="18"/>
          <w:color w:val="auto"/>
        </w:rPr>
        <w:t>Novartis AG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Pfizer Inc.</w:t>
      </w:r>
    </w:p>
    <w:p>
      <w:pPr>
        <w:spacing w:after="0" w:line="204" w:lineRule="exact"/>
        <w:rPr>
          <w:sz w:val="20"/>
          <w:szCs w:val="20"/>
          <w:color w:val="auto"/>
        </w:rPr>
      </w:pPr>
    </w:p>
    <w:p>
      <w:pPr>
        <w:ind w:left="140" w:right="160"/>
        <w:spacing w:after="0" w:line="247" w:lineRule="auto"/>
        <w:rPr>
          <w:sz w:val="20"/>
          <w:szCs w:val="20"/>
          <w:color w:val="auto"/>
        </w:rPr>
      </w:pPr>
      <w:r>
        <w:rPr>
          <w:rFonts w:ascii="Arial" w:cs="Arial" w:eastAsia="Arial" w:hAnsi="Arial"/>
          <w:sz w:val="14"/>
          <w:szCs w:val="14"/>
          <w:color w:val="auto"/>
        </w:rPr>
        <w:t>*Rankings based on financial results as initially reported by AbbVie and peers in each respective fiscal year and may not be adjusted for the impact of mergers, acquisitions, and/or divestitures.</w:t>
      </w:r>
    </w:p>
    <w:p>
      <w:pPr>
        <w:spacing w:after="0" w:line="262" w:lineRule="exact"/>
        <w:rPr>
          <w:sz w:val="20"/>
          <w:szCs w:val="20"/>
          <w:color w:val="auto"/>
        </w:rPr>
      </w:pPr>
    </w:p>
    <w:p>
      <w:pPr>
        <w:sectPr>
          <w:pgSz w:w="11900" w:h="16838" w:orient="portrait"/>
          <w:cols w:equalWidth="0" w:num="2">
            <w:col w:w="4180" w:space="720"/>
            <w:col w:w="4360"/>
          </w:cols>
          <w:pgMar w:left="1320" w:top="530" w:right="1319" w:bottom="1440" w:gutter="0" w:footer="0" w:header="0"/>
          <w:type w:val="continuous"/>
        </w:sectPr>
      </w:pPr>
    </w:p>
    <w:p>
      <w:pPr>
        <w:spacing w:after="0" w:line="161" w:lineRule="exact"/>
        <w:rPr>
          <w:sz w:val="20"/>
          <w:szCs w:val="20"/>
          <w:color w:val="auto"/>
        </w:rPr>
      </w:pPr>
    </w:p>
    <w:p>
      <w:pPr>
        <w:spacing w:after="0"/>
        <w:tabs>
          <w:tab w:leader="none" w:pos="283" w:val="left"/>
          <w:tab w:leader="none" w:pos="2220"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874395" cy="1625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808080"/>
        </w:rPr>
        <w:t>PROXY SUMMARY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AbbVie also delivered strong business performance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134620</wp:posOffset>
            </wp:positionV>
            <wp:extent cx="5906135" cy="4826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06135" cy="4826000"/>
                    </a:xfrm>
                    <a:prstGeom prst="rect">
                      <a:avLst/>
                    </a:prstGeom>
                    <a:noFill/>
                  </pic:spPr>
                </pic:pic>
              </a:graphicData>
            </a:graphic>
          </wp:anchor>
        </w:drawing>
      </w:r>
    </w:p>
    <w:p>
      <w:pPr>
        <w:spacing w:after="0" w:line="277" w:lineRule="exact"/>
        <w:rPr>
          <w:sz w:val="20"/>
          <w:szCs w:val="20"/>
          <w:color w:val="auto"/>
        </w:rPr>
      </w:pPr>
    </w:p>
    <w:p>
      <w:pPr>
        <w:ind w:left="1820" w:right="280"/>
        <w:spacing w:after="0" w:line="247"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AbbVie reported worldwide adjusted net revenues of $56.1 billion in 2021.</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net revenues increased by 23% on a reported basis, or 11% on a comparable operational basis**, which included strong and balanced performance from immunology, hematologic oncology, aesthetics, and neuroscience.</w:t>
      </w:r>
    </w:p>
    <w:p>
      <w:pPr>
        <w:spacing w:after="0" w:line="66" w:lineRule="exact"/>
        <w:rPr>
          <w:sz w:val="20"/>
          <w:szCs w:val="20"/>
          <w:color w:val="auto"/>
        </w:rPr>
      </w:pPr>
    </w:p>
    <w:p>
      <w:pPr>
        <w:ind w:left="1820" w:right="140"/>
        <w:spacing w:after="0" w:line="247" w:lineRule="auto"/>
        <w:rPr>
          <w:sz w:val="20"/>
          <w:szCs w:val="20"/>
          <w:color w:val="auto"/>
        </w:rPr>
      </w:pPr>
      <w:r>
        <w:rPr>
          <w:rFonts w:ascii="Arial" w:cs="Arial" w:eastAsia="Arial" w:hAnsi="Arial"/>
          <w:sz w:val="18"/>
          <w:szCs w:val="18"/>
          <w:b w:val="1"/>
          <w:bCs w:val="1"/>
          <w:color w:val="auto"/>
        </w:rPr>
        <w:t xml:space="preserve">Gross and Operating Margins: </w:t>
      </w:r>
      <w:r>
        <w:rPr>
          <w:rFonts w:ascii="Arial" w:cs="Arial" w:eastAsia="Arial" w:hAnsi="Arial"/>
          <w:sz w:val="18"/>
          <w:szCs w:val="18"/>
          <w:color w:val="auto"/>
        </w:rPr>
        <w:t>In 2021, AbbVie reported a gross margin of 69.0% on a</w:t>
      </w:r>
      <w:r>
        <w:rPr>
          <w:rFonts w:ascii="Arial" w:cs="Arial" w:eastAsia="Arial" w:hAnsi="Arial"/>
          <w:sz w:val="18"/>
          <w:szCs w:val="18"/>
          <w:b w:val="1"/>
          <w:bCs w:val="1"/>
          <w:color w:val="auto"/>
        </w:rPr>
        <w:t xml:space="preserve"> </w:t>
      </w:r>
      <w:r>
        <w:rPr>
          <w:rFonts w:ascii="Arial" w:cs="Arial" w:eastAsia="Arial" w:hAnsi="Arial"/>
          <w:sz w:val="18"/>
          <w:szCs w:val="18"/>
          <w:color w:val="auto"/>
        </w:rPr>
        <w:t>GAAP basis or 83.2% of net revenues on an adjusted basis. AbbVie’s operating margin was 31.9% on a GAAP basis or 50.3% of net revenues on an adjusted basis. The adjusted operating margin reflects an improvement of 230 basis points versus 2020.</w:t>
      </w:r>
    </w:p>
    <w:p>
      <w:pPr>
        <w:spacing w:after="0" w:line="66" w:lineRule="exact"/>
        <w:rPr>
          <w:sz w:val="20"/>
          <w:szCs w:val="20"/>
          <w:color w:val="auto"/>
        </w:rPr>
      </w:pPr>
    </w:p>
    <w:p>
      <w:pPr>
        <w:ind w:left="1820" w:right="200"/>
        <w:spacing w:after="0" w:line="244"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For 2021, AbbVie reported full-year diluted EPS of $6.45 on a GAAP</w:t>
      </w:r>
      <w:r>
        <w:rPr>
          <w:rFonts w:ascii="Arial" w:cs="Arial" w:eastAsia="Arial" w:hAnsi="Arial"/>
          <w:sz w:val="18"/>
          <w:szCs w:val="18"/>
          <w:b w:val="1"/>
          <w:bCs w:val="1"/>
          <w:color w:val="auto"/>
        </w:rPr>
        <w:t xml:space="preserve"> </w:t>
      </w:r>
      <w:r>
        <w:rPr>
          <w:rFonts w:ascii="Arial" w:cs="Arial" w:eastAsia="Arial" w:hAnsi="Arial"/>
          <w:sz w:val="18"/>
          <w:szCs w:val="18"/>
          <w:color w:val="auto"/>
        </w:rPr>
        <w:t>basis and adjusted diluted EPS of $12.70, up 20.3%. For 2022, AbbVie provided a diluted EPS guidance range of $9.26 to $9.46 on a GAAP basis and $14.00 to $14.20 on an adjusted basis. The midpoint of the 2022 adjusted guidance represents growth of 11% over 2021, reflecting strong operating dynamics in the underlying business.</w:t>
      </w:r>
    </w:p>
    <w:p>
      <w:pPr>
        <w:spacing w:after="0" w:line="203" w:lineRule="exact"/>
        <w:rPr>
          <w:sz w:val="20"/>
          <w:szCs w:val="20"/>
          <w:color w:val="auto"/>
        </w:rPr>
      </w:pPr>
    </w:p>
    <w:p>
      <w:pPr>
        <w:ind w:left="1820" w:right="40"/>
        <w:spacing w:after="0" w:line="238" w:lineRule="auto"/>
        <w:rPr>
          <w:sz w:val="20"/>
          <w:szCs w:val="20"/>
          <w:color w:val="auto"/>
        </w:rPr>
      </w:pPr>
      <w:r>
        <w:rPr>
          <w:rFonts w:ascii="Arial" w:cs="Arial" w:eastAsia="Arial" w:hAnsi="Arial"/>
          <w:sz w:val="18"/>
          <w:szCs w:val="18"/>
          <w:b w:val="1"/>
          <w:bCs w:val="1"/>
          <w:color w:val="auto"/>
        </w:rPr>
        <w:t xml:space="preserve">Regulatory Milestones: </w:t>
      </w:r>
      <w:r>
        <w:rPr>
          <w:rFonts w:ascii="Arial" w:cs="Arial" w:eastAsia="Arial" w:hAnsi="Arial"/>
          <w:sz w:val="18"/>
          <w:szCs w:val="18"/>
          <w:color w:val="auto"/>
        </w:rPr>
        <w:t>AbbVie also achieved a number of regulatory milestones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for several key products, including regulatory approvals for Skyrizi for the treatment of active psoriatic arthritis (PsA), Qulipta for the preventive treatment of episodic migraine in adults, Vuity for the treatment of presbyopia, and Rinvoq in three additional indications: for the treatment of adult patients with active psoriatic arthritis (PsA), for the treatment of adult patients with active ankylosing spondylitis (AS), and for the treatment of adults and adolescents with moderate to severe atopic dermatitis (AD). AbbVie also submitted regulatory applications for an additional indication for Skyrizi for the treatment of patients 16 years and older with moderate to severe Crohn’s Disease (CD), as well as Rinvoq in two additional indications: for the treatment of adults with moderately to severely active ulcerative colitis (UC) and for adults with non-radiographic axial spondyloarthritis (nr-AxSpa).</w:t>
      </w:r>
    </w:p>
    <w:p>
      <w:pPr>
        <w:spacing w:after="0" w:line="210" w:lineRule="exact"/>
        <w:rPr>
          <w:sz w:val="20"/>
          <w:szCs w:val="20"/>
          <w:color w:val="auto"/>
        </w:rPr>
      </w:pPr>
    </w:p>
    <w:p>
      <w:pPr>
        <w:ind w:left="1820" w:right="280"/>
        <w:spacing w:after="0" w:line="256" w:lineRule="auto"/>
        <w:rPr>
          <w:sz w:val="20"/>
          <w:szCs w:val="20"/>
          <w:color w:val="auto"/>
        </w:rPr>
      </w:pPr>
      <w:r>
        <w:rPr>
          <w:rFonts w:ascii="Arial" w:cs="Arial" w:eastAsia="Arial" w:hAnsi="Arial"/>
          <w:sz w:val="17"/>
          <w:szCs w:val="17"/>
          <w:b w:val="1"/>
          <w:bCs w:val="1"/>
          <w:color w:val="auto"/>
        </w:rPr>
        <w:t xml:space="preserve">Pipeline Development: </w:t>
      </w:r>
      <w:r>
        <w:rPr>
          <w:rFonts w:ascii="Arial" w:cs="Arial" w:eastAsia="Arial" w:hAnsi="Arial"/>
          <w:sz w:val="17"/>
          <w:szCs w:val="17"/>
          <w:color w:val="auto"/>
        </w:rPr>
        <w:t>With more than 50 programs in mid- and late-stage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AbbVie made significant pipeline advancements in 2021. In addition to several positive Phase 3 readouts across multiple indications for Skyrizi and Rinvoq, AbbVie also reported positive registration enabling data for Vraylar as an adjunctive treatment for patients with major depressive disorder (MDD) and ABBV-951, a potentially transformative therapy for patients with advanced Parkinson’s Disease. Several important Phase 3 programs are ongoing in other areas of our pipeline, including studies for Venclexta in multiple myeloma (MM) and myelodysplatic syndrome (MDS) and Navitoclax for mylefibrosis.</w:t>
      </w:r>
    </w:p>
    <w:p>
      <w:pPr>
        <w:spacing w:after="0" w:line="101" w:lineRule="exact"/>
        <w:rPr>
          <w:sz w:val="20"/>
          <w:szCs w:val="20"/>
          <w:color w:val="auto"/>
        </w:rPr>
      </w:pPr>
    </w:p>
    <w:p>
      <w:pPr>
        <w:ind w:right="560"/>
        <w:spacing w:after="0" w:line="241" w:lineRule="auto"/>
        <w:rPr>
          <w:sz w:val="20"/>
          <w:szCs w:val="20"/>
          <w:color w:val="auto"/>
        </w:rPr>
      </w:pPr>
      <w:r>
        <w:rPr>
          <w:rFonts w:ascii="Arial" w:cs="Arial" w:eastAsia="Arial" w:hAnsi="Arial"/>
          <w:sz w:val="14"/>
          <w:szCs w:val="14"/>
          <w:color w:val="auto"/>
        </w:rPr>
        <w:t>*Net revenues, adjusted gross and operating margins, and diluted earnings per share are adjusted for specified items and are non-GAAP measures, which are reconciled in Appendix B.</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**Comparable operational comparisons include full-period current year and prior year results for Allergan products, as if the acquisition closed on January 1, 2020, and are presented at constant currency rates that reflect comparative local currency net revenues at the prior year’s foreign exchange rates.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240" w:type="dxa"/>
            <w:vAlign w:val="bottom"/>
          </w:tcPr>
          <w:p>
            <w:pPr>
              <w:ind w:left="52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48"/>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-556895</wp:posOffset>
            </wp:positionV>
            <wp:extent cx="874395"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808080"/>
        </w:rPr>
        <w:t>PROXY SUMMARY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32"/>
          <w:szCs w:val="32"/>
          <w:color w:val="auto"/>
        </w:rPr>
        <w:t>Our Governance Highlights</w:t>
      </w:r>
    </w:p>
    <w:p>
      <w:pPr>
        <w:spacing w:after="0" w:line="181" w:lineRule="exact"/>
        <w:rPr>
          <w:sz w:val="20"/>
          <w:szCs w:val="20"/>
          <w:color w:val="auto"/>
        </w:rPr>
      </w:pPr>
    </w:p>
    <w:p>
      <w:pPr>
        <w:ind w:left="60" w:right="180"/>
        <w:spacing w:after="0" w:line="236" w:lineRule="auto"/>
        <w:rPr>
          <w:sz w:val="20"/>
          <w:szCs w:val="20"/>
          <w:color w:val="auto"/>
        </w:rPr>
      </w:pPr>
      <w:r>
        <w:rPr>
          <w:rFonts w:ascii="Arial" w:cs="Arial" w:eastAsia="Arial" w:hAnsi="Arial"/>
          <w:sz w:val="18"/>
          <w:szCs w:val="18"/>
          <w:color w:val="auto"/>
        </w:rPr>
        <w:t>Our board of directors is committed to strong corporate governance tailored to meet the needs of AbbVie and its stockholders to enhance long-term stockholder value. Each year, AbbVie completes a robust investor engagement program with governance investment teams. In 2021, we reached out to stockholders representing nearly 40% of our outstanding shares. Our engagements in 2021 generally focused on (1) AbbVie’s business and strategy, (2) AbbVie’s environmental, social, and governance (ESG) strategy and initiatives, (3) AbbVie’s equity, equality, diversity, and inclusion programs and disclosures, (4) AbbVie’s disclosures related to its political expenditures and lobbying activities, (5) AbbVie’s executive compensation programs, and (6) AbbVie’s board composition and leadership structure, including the responsibilities of our lead independent director.</w:t>
      </w:r>
    </w:p>
    <w:p>
      <w:pPr>
        <w:spacing w:after="0" w:line="167" w:lineRule="exact"/>
        <w:rPr>
          <w:sz w:val="20"/>
          <w:szCs w:val="20"/>
          <w:color w:val="auto"/>
        </w:rPr>
      </w:pPr>
    </w:p>
    <w:p>
      <w:pPr>
        <w:ind w:left="60" w:right="60"/>
        <w:spacing w:after="0"/>
        <w:rPr>
          <w:sz w:val="20"/>
          <w:szCs w:val="20"/>
          <w:color w:val="auto"/>
        </w:rPr>
      </w:pPr>
      <w:r>
        <w:rPr>
          <w:rFonts w:ascii="Arial" w:cs="Arial" w:eastAsia="Arial" w:hAnsi="Arial"/>
          <w:sz w:val="18"/>
          <w:szCs w:val="18"/>
          <w:color w:val="auto"/>
        </w:rPr>
        <w:t>The board reviews feedback from these engagements and discusses opportunities to improve AbbVie’s governance practices. The following chart summarizes some of the governance practices that the board has adopted over the past several years as a result of dialogue with our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jc w:val="right"/>
              <w:ind w:right="1110"/>
              <w:spacing w:after="0"/>
              <w:rPr>
                <w:sz w:val="20"/>
                <w:szCs w:val="20"/>
                <w:color w:val="auto"/>
              </w:rPr>
            </w:pPr>
            <w:r>
              <w:rPr>
                <w:rFonts w:ascii="Arial" w:cs="Arial" w:eastAsia="Arial" w:hAnsi="Arial"/>
                <w:sz w:val="22"/>
                <w:szCs w:val="22"/>
                <w:b w:val="1"/>
                <w:bCs w:val="1"/>
                <w:color w:val="auto"/>
              </w:rPr>
              <w:t>Topic:</w:t>
            </w: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22"/>
                <w:szCs w:val="22"/>
                <w:b w:val="1"/>
                <w:bCs w:val="1"/>
                <w:color w:val="auto"/>
              </w:rPr>
              <w:t>Actions taken by our board:</w:t>
            </w:r>
          </w:p>
        </w:tc>
        <w:tc>
          <w:tcPr>
            <w:tcW w:w="0" w:type="dxa"/>
            <w:vAlign w:val="bottom"/>
          </w:tcPr>
          <w:p>
            <w:pPr>
              <w:spacing w:after="0"/>
              <w:rPr>
                <w:sz w:val="1"/>
                <w:szCs w:val="1"/>
                <w:color w:val="auto"/>
              </w:rPr>
            </w:pPr>
          </w:p>
        </w:tc>
      </w:tr>
      <w:tr>
        <w:trPr>
          <w:trHeight w:val="78"/>
        </w:trPr>
        <w:tc>
          <w:tcPr>
            <w:tcW w:w="100" w:type="dxa"/>
            <w:vAlign w:val="bottom"/>
            <w:tcBorders>
              <w:bottom w:val="single" w:sz="8" w:color="071D49"/>
              <w:right w:val="single" w:sz="8" w:color="071D49"/>
            </w:tcBorders>
            <w:shd w:val="clear" w:color="auto" w:fill="071D49"/>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tcBorders>
              <w:bottom w:val="single" w:sz="8" w:color="071D49"/>
            </w:tcBorders>
          </w:tcPr>
          <w:p>
            <w:pPr>
              <w:spacing w:after="0"/>
              <w:rPr>
                <w:sz w:val="6"/>
                <w:szCs w:val="6"/>
                <w:color w:val="auto"/>
              </w:rPr>
            </w:pPr>
          </w:p>
        </w:tc>
        <w:tc>
          <w:tcPr>
            <w:tcW w:w="80" w:type="dxa"/>
            <w:vAlign w:val="bottom"/>
            <w:tcBorders>
              <w:bottom w:val="single" w:sz="8" w:color="071D49"/>
              <w:right w:val="single" w:sz="8" w:color="071D49"/>
            </w:tcBorders>
          </w:tcPr>
          <w:p>
            <w:pPr>
              <w:spacing w:after="0"/>
              <w:rPr>
                <w:sz w:val="6"/>
                <w:szCs w:val="6"/>
                <w:color w:val="auto"/>
              </w:rPr>
            </w:pPr>
          </w:p>
        </w:tc>
        <w:tc>
          <w:tcPr>
            <w:tcW w:w="6960" w:type="dxa"/>
            <w:vAlign w:val="bottom"/>
            <w:tcBorders>
              <w:bottom w:val="single" w:sz="8" w:color="071D49"/>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 xml:space="preserve">approved a management proposal to eliminate supermajority voting </w:t>
            </w:r>
            <w:r>
              <w:rPr>
                <w:rFonts w:ascii="Arial" w:cs="Arial" w:eastAsia="Arial" w:hAnsi="Arial"/>
                <w:sz w:val="17"/>
                <w:szCs w:val="17"/>
                <w:color w:val="auto"/>
              </w:rPr>
              <w:t>in this proxy</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Arial" w:cs="Arial" w:eastAsia="Arial" w:hAnsi="Arial"/>
                <w:sz w:val="22"/>
                <w:szCs w:val="22"/>
                <w:color w:val="auto"/>
                <w:w w:val="98"/>
              </w:rPr>
              <w:t>Stockholder</w:t>
            </w: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statement (Item 4) to seek stockholder approval to amend the company’s Amended and</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Restated Certificate of Incorporation to provide for a simple majority of shares outstanding</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spacing w:after="0" w:line="190" w:lineRule="exact"/>
              <w:rPr>
                <w:sz w:val="20"/>
                <w:szCs w:val="20"/>
                <w:color w:val="auto"/>
              </w:rPr>
            </w:pPr>
            <w:r>
              <w:rPr>
                <w:rFonts w:ascii="Arial" w:cs="Arial" w:eastAsia="Arial" w:hAnsi="Arial"/>
                <w:sz w:val="21"/>
                <w:szCs w:val="21"/>
                <w:color w:val="auto"/>
              </w:rPr>
              <w:t>Voting Rights</w:t>
            </w: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for all provisions previously subject to a supermajority provision, as described in Item 4</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and previously submitted the same proposal to stockholder vote from 2018 to 2021 as</w:t>
            </w: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well as a declassification management proposal to a stockholder vote in 2016 to 2018</w:t>
            </w:r>
          </w:p>
        </w:tc>
        <w:tc>
          <w:tcPr>
            <w:tcW w:w="0" w:type="dxa"/>
            <w:vAlign w:val="bottom"/>
          </w:tcPr>
          <w:p>
            <w:pPr>
              <w:spacing w:after="0"/>
              <w:rPr>
                <w:sz w:val="1"/>
                <w:szCs w:val="1"/>
                <w:color w:val="auto"/>
              </w:rPr>
            </w:pPr>
          </w:p>
        </w:tc>
      </w:tr>
      <w:tr>
        <w:trPr>
          <w:trHeight w:val="106"/>
        </w:trPr>
        <w:tc>
          <w:tcPr>
            <w:tcW w:w="100" w:type="dxa"/>
            <w:vAlign w:val="bottom"/>
            <w:tcBorders>
              <w:bottom w:val="single" w:sz="8" w:color="071D49"/>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Borders>
              <w:bottom w:val="single" w:sz="8" w:color="071D49"/>
            </w:tcBorders>
          </w:tcPr>
          <w:p>
            <w:pPr>
              <w:spacing w:after="0"/>
              <w:rPr>
                <w:sz w:val="9"/>
                <w:szCs w:val="9"/>
                <w:color w:val="auto"/>
              </w:rPr>
            </w:pPr>
          </w:p>
        </w:tc>
        <w:tc>
          <w:tcPr>
            <w:tcW w:w="80" w:type="dxa"/>
            <w:vAlign w:val="bottom"/>
            <w:tcBorders>
              <w:bottom w:val="single" w:sz="8" w:color="071D49"/>
              <w:right w:val="single" w:sz="8" w:color="071D49"/>
            </w:tcBorders>
          </w:tcPr>
          <w:p>
            <w:pPr>
              <w:spacing w:after="0"/>
              <w:rPr>
                <w:sz w:val="9"/>
                <w:szCs w:val="9"/>
                <w:color w:val="auto"/>
              </w:rPr>
            </w:pPr>
          </w:p>
        </w:tc>
        <w:tc>
          <w:tcPr>
            <w:tcW w:w="6960" w:type="dxa"/>
            <w:vAlign w:val="bottom"/>
            <w:tcBorders>
              <w:bottom w:val="single" w:sz="8" w:color="071D49"/>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vMerge w:val="restart"/>
          </w:tcPr>
          <w:p>
            <w:pPr>
              <w:jc w:val="center"/>
              <w:spacing w:after="0"/>
              <w:rPr>
                <w:sz w:val="20"/>
                <w:szCs w:val="20"/>
                <w:color w:val="auto"/>
              </w:rPr>
            </w:pPr>
            <w:r>
              <w:rPr>
                <w:rFonts w:ascii="Arial" w:cs="Arial" w:eastAsia="Arial" w:hAnsi="Arial"/>
                <w:sz w:val="22"/>
                <w:szCs w:val="22"/>
                <w:color w:val="auto"/>
                <w:w w:val="97"/>
              </w:rPr>
              <w:t>Proxy Access</w:t>
            </w: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approved and implemented in 2016 a proxy access by-law provision</w:t>
            </w:r>
            <w:r>
              <w:rPr>
                <w:rFonts w:ascii="Arial" w:cs="Arial" w:eastAsia="Arial" w:hAnsi="Arial"/>
                <w:sz w:val="17"/>
                <w:szCs w:val="17"/>
                <w:color w:val="auto"/>
              </w:rPr>
              <w:t>, as further</w:t>
            </w:r>
          </w:p>
        </w:tc>
        <w:tc>
          <w:tcPr>
            <w:tcW w:w="0" w:type="dxa"/>
            <w:vAlign w:val="bottom"/>
          </w:tcPr>
          <w:p>
            <w:pPr>
              <w:spacing w:after="0"/>
              <w:rPr>
                <w:sz w:val="1"/>
                <w:szCs w:val="1"/>
                <w:color w:val="auto"/>
              </w:rPr>
            </w:pPr>
          </w:p>
        </w:tc>
      </w:tr>
      <w:tr>
        <w:trPr>
          <w:trHeight w:val="138"/>
        </w:trPr>
        <w:tc>
          <w:tcPr>
            <w:tcW w:w="100" w:type="dxa"/>
            <w:vAlign w:val="bottom"/>
            <w:tcBorders>
              <w:right w:val="single" w:sz="8" w:color="071D49"/>
            </w:tcBorders>
            <w:shd w:val="clear" w:color="auto" w:fill="071D49"/>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80" w:type="dxa"/>
            <w:vAlign w:val="bottom"/>
            <w:tcBorders>
              <w:right w:val="single" w:sz="8" w:color="071D49"/>
            </w:tcBorders>
          </w:tcPr>
          <w:p>
            <w:pPr>
              <w:spacing w:after="0"/>
              <w:rPr>
                <w:sz w:val="11"/>
                <w:szCs w:val="11"/>
                <w:color w:val="auto"/>
              </w:rPr>
            </w:pPr>
          </w:p>
        </w:tc>
        <w:tc>
          <w:tcPr>
            <w:tcW w:w="6980" w:type="dxa"/>
            <w:vAlign w:val="bottom"/>
            <w:gridSpan w:val="2"/>
            <w:vMerge w:val="restart"/>
          </w:tcPr>
          <w:p>
            <w:pPr>
              <w:ind w:left="140"/>
              <w:spacing w:after="0"/>
              <w:rPr>
                <w:sz w:val="20"/>
                <w:szCs w:val="20"/>
                <w:color w:val="auto"/>
              </w:rPr>
            </w:pPr>
            <w:r>
              <w:rPr>
                <w:rFonts w:ascii="Arial" w:cs="Arial" w:eastAsia="Arial" w:hAnsi="Arial"/>
                <w:sz w:val="17"/>
                <w:szCs w:val="17"/>
                <w:color w:val="auto"/>
              </w:rPr>
              <w:t>detailed in the company’s By-Laws</w:t>
            </w:r>
          </w:p>
        </w:tc>
        <w:tc>
          <w:tcPr>
            <w:tcW w:w="0" w:type="dxa"/>
            <w:vAlign w:val="bottom"/>
          </w:tcPr>
          <w:p>
            <w:pPr>
              <w:spacing w:after="0"/>
              <w:rPr>
                <w:sz w:val="1"/>
                <w:szCs w:val="1"/>
                <w:color w:val="auto"/>
              </w:rPr>
            </w:pPr>
          </w:p>
        </w:tc>
      </w:tr>
      <w:tr>
        <w:trPr>
          <w:trHeight w:val="67"/>
        </w:trPr>
        <w:tc>
          <w:tcPr>
            <w:tcW w:w="100" w:type="dxa"/>
            <w:vAlign w:val="bottom"/>
            <w:tcBorders>
              <w:right w:val="single" w:sz="8" w:color="071D49"/>
            </w:tcBorders>
            <w:shd w:val="clear" w:color="auto" w:fill="071D49"/>
          </w:tcPr>
          <w:p>
            <w:pPr>
              <w:spacing w:after="0"/>
              <w:rPr>
                <w:sz w:val="5"/>
                <w:szCs w:val="5"/>
                <w:color w:val="auto"/>
              </w:rPr>
            </w:pPr>
          </w:p>
        </w:tc>
        <w:tc>
          <w:tcPr>
            <w:tcW w:w="1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Borders>
              <w:right w:val="single" w:sz="8" w:color="071D49"/>
            </w:tcBorders>
          </w:tcPr>
          <w:p>
            <w:pPr>
              <w:spacing w:after="0"/>
              <w:rPr>
                <w:sz w:val="5"/>
                <w:szCs w:val="5"/>
                <w:color w:val="auto"/>
              </w:rPr>
            </w:pPr>
          </w:p>
        </w:tc>
        <w:tc>
          <w:tcPr>
            <w:tcW w:w="6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0" w:type="dxa"/>
            <w:vAlign w:val="bottom"/>
            <w:tcBorders>
              <w:bottom w:val="single" w:sz="8" w:color="071D49"/>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Borders>
              <w:bottom w:val="single" w:sz="8" w:color="071D49"/>
            </w:tcBorders>
          </w:tcPr>
          <w:p>
            <w:pPr>
              <w:spacing w:after="0"/>
              <w:rPr>
                <w:sz w:val="9"/>
                <w:szCs w:val="9"/>
                <w:color w:val="auto"/>
              </w:rPr>
            </w:pPr>
          </w:p>
        </w:tc>
        <w:tc>
          <w:tcPr>
            <w:tcW w:w="80" w:type="dxa"/>
            <w:vAlign w:val="bottom"/>
            <w:tcBorders>
              <w:bottom w:val="single" w:sz="8" w:color="071D49"/>
              <w:right w:val="single" w:sz="8" w:color="071D49"/>
            </w:tcBorders>
          </w:tcPr>
          <w:p>
            <w:pPr>
              <w:spacing w:after="0"/>
              <w:rPr>
                <w:sz w:val="9"/>
                <w:szCs w:val="9"/>
                <w:color w:val="auto"/>
              </w:rPr>
            </w:pPr>
          </w:p>
        </w:tc>
        <w:tc>
          <w:tcPr>
            <w:tcW w:w="6960" w:type="dxa"/>
            <w:vAlign w:val="bottom"/>
            <w:tcBorders>
              <w:bottom w:val="single" w:sz="8" w:color="071D49"/>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significantly expanded disclosure on the lead independent director responsibilities</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Arial" w:cs="Arial" w:eastAsia="Arial" w:hAnsi="Arial"/>
                <w:sz w:val="22"/>
                <w:szCs w:val="22"/>
                <w:color w:val="auto"/>
                <w:w w:val="98"/>
              </w:rPr>
              <w:t>Lead Independent</w:t>
            </w: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in the 2019 and 2018 proxy statements, to better inform our stockholders on the robust</w:t>
            </w:r>
          </w:p>
        </w:tc>
        <w:tc>
          <w:tcPr>
            <w:tcW w:w="0" w:type="dxa"/>
            <w:vAlign w:val="bottom"/>
          </w:tcPr>
          <w:p>
            <w:pPr>
              <w:spacing w:after="0"/>
              <w:rPr>
                <w:sz w:val="1"/>
                <w:szCs w:val="1"/>
                <w:color w:val="auto"/>
              </w:rPr>
            </w:pPr>
          </w:p>
        </w:tc>
      </w:tr>
      <w:tr>
        <w:trPr>
          <w:trHeight w:val="155"/>
        </w:trPr>
        <w:tc>
          <w:tcPr>
            <w:tcW w:w="100" w:type="dxa"/>
            <w:vAlign w:val="bottom"/>
            <w:tcBorders>
              <w:right w:val="single" w:sz="8" w:color="071D49"/>
            </w:tcBorders>
            <w:shd w:val="clear" w:color="auto" w:fill="071D49"/>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80" w:type="dxa"/>
            <w:vAlign w:val="bottom"/>
            <w:tcBorders>
              <w:right w:val="single" w:sz="8" w:color="071D49"/>
            </w:tcBorders>
          </w:tcPr>
          <w:p>
            <w:pPr>
              <w:spacing w:after="0"/>
              <w:rPr>
                <w:sz w:val="13"/>
                <w:szCs w:val="13"/>
                <w:color w:val="auto"/>
              </w:rPr>
            </w:pPr>
          </w:p>
        </w:tc>
        <w:tc>
          <w:tcPr>
            <w:tcW w:w="6980" w:type="dxa"/>
            <w:vAlign w:val="bottom"/>
            <w:gridSpan w:val="2"/>
          </w:tcPr>
          <w:p>
            <w:pPr>
              <w:ind w:left="140"/>
              <w:spacing w:after="0" w:line="154" w:lineRule="exact"/>
              <w:rPr>
                <w:sz w:val="20"/>
                <w:szCs w:val="20"/>
                <w:color w:val="auto"/>
              </w:rPr>
            </w:pPr>
            <w:r>
              <w:rPr>
                <w:rFonts w:ascii="Arial" w:cs="Arial" w:eastAsia="Arial" w:hAnsi="Arial"/>
                <w:sz w:val="17"/>
                <w:szCs w:val="17"/>
                <w:color w:val="auto"/>
              </w:rPr>
              <w:t>leadership that the role provides</w:t>
            </w:r>
          </w:p>
        </w:tc>
        <w:tc>
          <w:tcPr>
            <w:tcW w:w="0" w:type="dxa"/>
            <w:vAlign w:val="bottom"/>
          </w:tcPr>
          <w:p>
            <w:pPr>
              <w:spacing w:after="0"/>
              <w:rPr>
                <w:sz w:val="1"/>
                <w:szCs w:val="1"/>
                <w:color w:val="auto"/>
              </w:rPr>
            </w:pPr>
          </w:p>
        </w:tc>
      </w:tr>
      <w:tr>
        <w:trPr>
          <w:trHeight w:val="259"/>
        </w:trPr>
        <w:tc>
          <w:tcPr>
            <w:tcW w:w="100" w:type="dxa"/>
            <w:vAlign w:val="bottom"/>
            <w:tcBorders>
              <w:right w:val="single" w:sz="8" w:color="071D49"/>
            </w:tcBorders>
            <w:shd w:val="clear" w:color="auto" w:fill="071D49"/>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Arial" w:cs="Arial" w:eastAsia="Arial" w:hAnsi="Arial"/>
                <w:sz w:val="22"/>
                <w:szCs w:val="22"/>
                <w:color w:val="auto"/>
                <w:w w:val="98"/>
              </w:rPr>
              <w:t>Director Role</w:t>
            </w:r>
          </w:p>
        </w:tc>
        <w:tc>
          <w:tcPr>
            <w:tcW w:w="80" w:type="dxa"/>
            <w:vAlign w:val="bottom"/>
            <w:tcBorders>
              <w:right w:val="single" w:sz="8" w:color="071D49"/>
            </w:tcBorders>
          </w:tcPr>
          <w:p>
            <w:pPr>
              <w:spacing w:after="0"/>
              <w:rPr>
                <w:sz w:val="22"/>
                <w:szCs w:val="22"/>
                <w:color w:val="auto"/>
              </w:rPr>
            </w:pPr>
          </w:p>
        </w:tc>
        <w:tc>
          <w:tcPr>
            <w:tcW w:w="69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 xml:space="preserve">appointed the lead independent director to all committees </w:t>
            </w:r>
            <w:r>
              <w:rPr>
                <w:rFonts w:ascii="Arial" w:cs="Arial" w:eastAsia="Arial" w:hAnsi="Arial"/>
                <w:sz w:val="17"/>
                <w:szCs w:val="17"/>
                <w:color w:val="auto"/>
              </w:rPr>
              <w:t>in 2019, further</w:t>
            </w:r>
          </w:p>
        </w:tc>
        <w:tc>
          <w:tcPr>
            <w:tcW w:w="0" w:type="dxa"/>
            <w:vAlign w:val="bottom"/>
          </w:tcPr>
          <w:p>
            <w:pPr>
              <w:spacing w:after="0"/>
              <w:rPr>
                <w:sz w:val="1"/>
                <w:szCs w:val="1"/>
                <w:color w:val="auto"/>
              </w:rPr>
            </w:pPr>
          </w:p>
        </w:tc>
      </w:tr>
      <w:tr>
        <w:trPr>
          <w:trHeight w:val="72"/>
        </w:trPr>
        <w:tc>
          <w:tcPr>
            <w:tcW w:w="100" w:type="dxa"/>
            <w:vAlign w:val="bottom"/>
            <w:tcBorders>
              <w:right w:val="single" w:sz="8" w:color="071D49"/>
            </w:tcBorders>
            <w:shd w:val="clear" w:color="auto" w:fill="071D49"/>
          </w:tcPr>
          <w:p>
            <w:pPr>
              <w:spacing w:after="0"/>
              <w:rPr>
                <w:sz w:val="6"/>
                <w:szCs w:val="6"/>
                <w:color w:val="auto"/>
              </w:rPr>
            </w:pPr>
          </w:p>
        </w:tc>
        <w:tc>
          <w:tcPr>
            <w:tcW w:w="1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80" w:type="dxa"/>
            <w:vAlign w:val="bottom"/>
            <w:tcBorders>
              <w:right w:val="single" w:sz="8" w:color="071D49"/>
            </w:tcBorders>
          </w:tcPr>
          <w:p>
            <w:pPr>
              <w:spacing w:after="0"/>
              <w:rPr>
                <w:sz w:val="6"/>
                <w:szCs w:val="6"/>
                <w:color w:val="auto"/>
              </w:rPr>
            </w:pPr>
          </w:p>
        </w:tc>
        <w:tc>
          <w:tcPr>
            <w:tcW w:w="6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strengthening his active leadership role</w:t>
            </w:r>
          </w:p>
        </w:tc>
        <w:tc>
          <w:tcPr>
            <w:tcW w:w="0" w:type="dxa"/>
            <w:vAlign w:val="bottom"/>
          </w:tcPr>
          <w:p>
            <w:pPr>
              <w:spacing w:after="0"/>
              <w:rPr>
                <w:sz w:val="1"/>
                <w:szCs w:val="1"/>
                <w:color w:val="auto"/>
              </w:rPr>
            </w:pPr>
          </w:p>
        </w:tc>
      </w:tr>
      <w:tr>
        <w:trPr>
          <w:trHeight w:val="106"/>
        </w:trPr>
        <w:tc>
          <w:tcPr>
            <w:tcW w:w="100" w:type="dxa"/>
            <w:vAlign w:val="bottom"/>
            <w:tcBorders>
              <w:bottom w:val="single" w:sz="8" w:color="071D49"/>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Borders>
              <w:bottom w:val="single" w:sz="8" w:color="071D49"/>
            </w:tcBorders>
          </w:tcPr>
          <w:p>
            <w:pPr>
              <w:spacing w:after="0"/>
              <w:rPr>
                <w:sz w:val="9"/>
                <w:szCs w:val="9"/>
                <w:color w:val="auto"/>
              </w:rPr>
            </w:pPr>
          </w:p>
        </w:tc>
        <w:tc>
          <w:tcPr>
            <w:tcW w:w="80" w:type="dxa"/>
            <w:vAlign w:val="bottom"/>
            <w:tcBorders>
              <w:bottom w:val="single" w:sz="8" w:color="071D49"/>
              <w:right w:val="single" w:sz="8" w:color="071D49"/>
            </w:tcBorders>
          </w:tcPr>
          <w:p>
            <w:pPr>
              <w:spacing w:after="0"/>
              <w:rPr>
                <w:sz w:val="9"/>
                <w:szCs w:val="9"/>
                <w:color w:val="auto"/>
              </w:rPr>
            </w:pPr>
          </w:p>
        </w:tc>
        <w:tc>
          <w:tcPr>
            <w:tcW w:w="6960" w:type="dxa"/>
            <w:vAlign w:val="bottom"/>
            <w:tcBorders>
              <w:bottom w:val="single" w:sz="8" w:color="071D49"/>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vMerge w:val="restart"/>
          </w:tcPr>
          <w:p>
            <w:pPr>
              <w:jc w:val="center"/>
              <w:spacing w:after="0"/>
              <w:rPr>
                <w:sz w:val="20"/>
                <w:szCs w:val="20"/>
                <w:color w:val="auto"/>
              </w:rPr>
            </w:pPr>
            <w:r>
              <w:rPr>
                <w:rFonts w:ascii="Arial" w:cs="Arial" w:eastAsia="Arial" w:hAnsi="Arial"/>
                <w:sz w:val="22"/>
                <w:szCs w:val="22"/>
                <w:color w:val="auto"/>
                <w:w w:val="98"/>
              </w:rPr>
              <w:t>Board Skills</w:t>
            </w: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shared our board skills matrix beginning in 2016</w:t>
            </w:r>
            <w:r>
              <w:rPr>
                <w:rFonts w:ascii="Arial" w:cs="Arial" w:eastAsia="Arial" w:hAnsi="Arial"/>
                <w:sz w:val="17"/>
                <w:szCs w:val="17"/>
                <w:color w:val="auto"/>
              </w:rPr>
              <w:t>, which contains the skills considered</w:t>
            </w:r>
          </w:p>
        </w:tc>
        <w:tc>
          <w:tcPr>
            <w:tcW w:w="0" w:type="dxa"/>
            <w:vAlign w:val="bottom"/>
          </w:tcPr>
          <w:p>
            <w:pPr>
              <w:spacing w:after="0"/>
              <w:rPr>
                <w:sz w:val="1"/>
                <w:szCs w:val="1"/>
                <w:color w:val="auto"/>
              </w:rPr>
            </w:pPr>
          </w:p>
        </w:tc>
      </w:tr>
      <w:tr>
        <w:trPr>
          <w:trHeight w:val="189"/>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by the nominations and governance committee to be the most relevant to the board’s</w:t>
            </w:r>
          </w:p>
        </w:tc>
        <w:tc>
          <w:tcPr>
            <w:tcW w:w="0" w:type="dxa"/>
            <w:vAlign w:val="bottom"/>
          </w:tcPr>
          <w:p>
            <w:pPr>
              <w:spacing w:after="0"/>
              <w:rPr>
                <w:sz w:val="1"/>
                <w:szCs w:val="1"/>
                <w:color w:val="auto"/>
              </w:rPr>
            </w:pPr>
          </w:p>
        </w:tc>
      </w:tr>
      <w:tr>
        <w:trPr>
          <w:trHeight w:val="195"/>
        </w:trPr>
        <w:tc>
          <w:tcPr>
            <w:tcW w:w="100" w:type="dxa"/>
            <w:vAlign w:val="bottom"/>
            <w:tcBorders>
              <w:right w:val="single" w:sz="8" w:color="071D49"/>
            </w:tcBorders>
            <w:shd w:val="clear" w:color="auto" w:fill="071D49"/>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spacing w:after="0" w:line="195" w:lineRule="exact"/>
              <w:rPr>
                <w:sz w:val="20"/>
                <w:szCs w:val="20"/>
                <w:color w:val="auto"/>
              </w:rPr>
            </w:pPr>
            <w:r>
              <w:rPr>
                <w:rFonts w:ascii="Arial" w:cs="Arial" w:eastAsia="Arial" w:hAnsi="Arial"/>
                <w:sz w:val="22"/>
                <w:szCs w:val="22"/>
                <w:color w:val="auto"/>
                <w:w w:val="97"/>
              </w:rPr>
              <w:t>Disclosure</w:t>
            </w:r>
          </w:p>
        </w:tc>
        <w:tc>
          <w:tcPr>
            <w:tcW w:w="80" w:type="dxa"/>
            <w:vAlign w:val="bottom"/>
            <w:tcBorders>
              <w:right w:val="single" w:sz="8" w:color="071D49"/>
            </w:tcBorders>
          </w:tcPr>
          <w:p>
            <w:pPr>
              <w:spacing w:after="0"/>
              <w:rPr>
                <w:sz w:val="16"/>
                <w:szCs w:val="16"/>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oversight role with respect to AbbVie’s business and affairs and to drive our culture of</w:t>
            </w: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innovation and responsibility</w:t>
            </w:r>
          </w:p>
        </w:tc>
        <w:tc>
          <w:tcPr>
            <w:tcW w:w="0" w:type="dxa"/>
            <w:vAlign w:val="bottom"/>
          </w:tcPr>
          <w:p>
            <w:pPr>
              <w:spacing w:after="0"/>
              <w:rPr>
                <w:sz w:val="1"/>
                <w:szCs w:val="1"/>
                <w:color w:val="auto"/>
              </w:rPr>
            </w:pPr>
          </w:p>
        </w:tc>
      </w:tr>
      <w:tr>
        <w:trPr>
          <w:trHeight w:val="99"/>
        </w:trPr>
        <w:tc>
          <w:tcPr>
            <w:tcW w:w="100" w:type="dxa"/>
            <w:vAlign w:val="bottom"/>
            <w:tcBorders>
              <w:bottom w:val="single" w:sz="8" w:color="071D49"/>
              <w:right w:val="single" w:sz="8" w:color="071D49"/>
            </w:tcBorders>
            <w:shd w:val="clear" w:color="auto" w:fill="071D49"/>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tcBorders>
              <w:bottom w:val="single" w:sz="8" w:color="071D49"/>
            </w:tcBorders>
          </w:tcPr>
          <w:p>
            <w:pPr>
              <w:spacing w:after="0"/>
              <w:rPr>
                <w:sz w:val="8"/>
                <w:szCs w:val="8"/>
                <w:color w:val="auto"/>
              </w:rPr>
            </w:pPr>
          </w:p>
        </w:tc>
        <w:tc>
          <w:tcPr>
            <w:tcW w:w="80" w:type="dxa"/>
            <w:vAlign w:val="bottom"/>
            <w:tcBorders>
              <w:bottom w:val="single" w:sz="8" w:color="071D49"/>
              <w:right w:val="single" w:sz="8" w:color="071D49"/>
            </w:tcBorders>
          </w:tcPr>
          <w:p>
            <w:pPr>
              <w:spacing w:after="0"/>
              <w:rPr>
                <w:sz w:val="8"/>
                <w:szCs w:val="8"/>
                <w:color w:val="auto"/>
              </w:rPr>
            </w:pPr>
          </w:p>
        </w:tc>
        <w:tc>
          <w:tcPr>
            <w:tcW w:w="6960" w:type="dxa"/>
            <w:vAlign w:val="bottom"/>
            <w:tcBorders>
              <w:bottom w:val="single" w:sz="8" w:color="071D4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 xml:space="preserve">enhanced our website disclosures on political contributions </w:t>
            </w:r>
            <w:r>
              <w:rPr>
                <w:rFonts w:ascii="Arial" w:cs="Arial" w:eastAsia="Arial" w:hAnsi="Arial"/>
                <w:sz w:val="17"/>
                <w:szCs w:val="17"/>
                <w:color w:val="auto"/>
              </w:rPr>
              <w:t>in 2022, including a</w:t>
            </w: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description of the process used to determine such contributions</w:t>
            </w:r>
          </w:p>
        </w:tc>
        <w:tc>
          <w:tcPr>
            <w:tcW w:w="0" w:type="dxa"/>
            <w:vAlign w:val="bottom"/>
          </w:tcPr>
          <w:p>
            <w:pPr>
              <w:spacing w:after="0"/>
              <w:rPr>
                <w:sz w:val="1"/>
                <w:szCs w:val="1"/>
                <w:color w:val="auto"/>
              </w:rPr>
            </w:pPr>
          </w:p>
        </w:tc>
      </w:tr>
      <w:tr>
        <w:trPr>
          <w:trHeight w:val="261"/>
        </w:trPr>
        <w:tc>
          <w:tcPr>
            <w:tcW w:w="100" w:type="dxa"/>
            <w:vAlign w:val="bottom"/>
            <w:tcBorders>
              <w:right w:val="single" w:sz="8" w:color="071D49"/>
            </w:tcBorders>
            <w:shd w:val="clear" w:color="auto" w:fill="071D49"/>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0" w:type="dxa"/>
            <w:vAlign w:val="bottom"/>
            <w:tcBorders>
              <w:right w:val="single" w:sz="8" w:color="071D49"/>
            </w:tcBorders>
          </w:tcPr>
          <w:p>
            <w:pPr>
              <w:spacing w:after="0"/>
              <w:rPr>
                <w:sz w:val="22"/>
                <w:szCs w:val="22"/>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expanded the discussion of board oversight of executive succession planning and</w:t>
            </w:r>
          </w:p>
        </w:tc>
        <w:tc>
          <w:tcPr>
            <w:tcW w:w="0" w:type="dxa"/>
            <w:vAlign w:val="bottom"/>
          </w:tcPr>
          <w:p>
            <w:pPr>
              <w:spacing w:after="0"/>
              <w:rPr>
                <w:sz w:val="1"/>
                <w:szCs w:val="1"/>
                <w:color w:val="auto"/>
              </w:rPr>
            </w:pPr>
          </w:p>
        </w:tc>
      </w:tr>
      <w:tr>
        <w:trPr>
          <w:trHeight w:val="225"/>
        </w:trPr>
        <w:tc>
          <w:tcPr>
            <w:tcW w:w="100" w:type="dxa"/>
            <w:vAlign w:val="bottom"/>
            <w:tcBorders>
              <w:right w:val="single" w:sz="8" w:color="071D49"/>
            </w:tcBorders>
            <w:shd w:val="clear" w:color="auto" w:fill="071D49"/>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Borders>
              <w:right w:val="single" w:sz="8" w:color="071D49"/>
            </w:tcBorders>
          </w:tcPr>
          <w:p>
            <w:pPr>
              <w:spacing w:after="0"/>
              <w:rPr>
                <w:sz w:val="19"/>
                <w:szCs w:val="19"/>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 xml:space="preserve">company culture </w:t>
            </w:r>
            <w:r>
              <w:rPr>
                <w:rFonts w:ascii="Arial" w:cs="Arial" w:eastAsia="Arial" w:hAnsi="Arial"/>
                <w:sz w:val="17"/>
                <w:szCs w:val="17"/>
                <w:color w:val="auto"/>
              </w:rPr>
              <w:t>in this proxy statement</w:t>
            </w:r>
          </w:p>
        </w:tc>
        <w:tc>
          <w:tcPr>
            <w:tcW w:w="0" w:type="dxa"/>
            <w:vAlign w:val="bottom"/>
          </w:tcPr>
          <w:p>
            <w:pPr>
              <w:spacing w:after="0"/>
              <w:rPr>
                <w:sz w:val="1"/>
                <w:szCs w:val="1"/>
                <w:color w:val="auto"/>
              </w:rPr>
            </w:pPr>
          </w:p>
        </w:tc>
      </w:tr>
      <w:tr>
        <w:trPr>
          <w:trHeight w:val="28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22"/>
                <w:szCs w:val="22"/>
                <w:color w:val="auto"/>
                <w:w w:val="98"/>
              </w:rPr>
              <w:t>Environmental,</w:t>
            </w: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 xml:space="preserve">disclosed detailed data on the diversity of AbbVie’s U.S. workforce </w:t>
            </w:r>
            <w:r>
              <w:rPr>
                <w:rFonts w:ascii="Arial" w:cs="Arial" w:eastAsia="Arial" w:hAnsi="Arial"/>
                <w:sz w:val="17"/>
                <w:szCs w:val="17"/>
                <w:color w:val="auto"/>
              </w:rPr>
              <w:t>by publishing</w:t>
            </w:r>
          </w:p>
        </w:tc>
        <w:tc>
          <w:tcPr>
            <w:tcW w:w="0" w:type="dxa"/>
            <w:vAlign w:val="bottom"/>
          </w:tcPr>
          <w:p>
            <w:pPr>
              <w:spacing w:after="0"/>
              <w:rPr>
                <w:sz w:val="1"/>
                <w:szCs w:val="1"/>
                <w:color w:val="auto"/>
              </w:rPr>
            </w:pPr>
          </w:p>
        </w:tc>
      </w:tr>
      <w:tr>
        <w:trPr>
          <w:trHeight w:val="243"/>
        </w:trPr>
        <w:tc>
          <w:tcPr>
            <w:tcW w:w="100" w:type="dxa"/>
            <w:vAlign w:val="bottom"/>
            <w:tcBorders>
              <w:right w:val="single" w:sz="8" w:color="071D49"/>
            </w:tcBorders>
            <w:shd w:val="clear" w:color="auto" w:fill="071D49"/>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center"/>
              <w:spacing w:after="0" w:line="243" w:lineRule="exact"/>
              <w:rPr>
                <w:sz w:val="20"/>
                <w:szCs w:val="20"/>
                <w:color w:val="auto"/>
              </w:rPr>
            </w:pPr>
            <w:r>
              <w:rPr>
                <w:rFonts w:ascii="Arial" w:cs="Arial" w:eastAsia="Arial" w:hAnsi="Arial"/>
                <w:sz w:val="22"/>
                <w:szCs w:val="22"/>
                <w:color w:val="auto"/>
                <w:w w:val="97"/>
              </w:rPr>
              <w:t>Social, and</w:t>
            </w:r>
          </w:p>
        </w:tc>
        <w:tc>
          <w:tcPr>
            <w:tcW w:w="80" w:type="dxa"/>
            <w:vAlign w:val="bottom"/>
            <w:tcBorders>
              <w:right w:val="single" w:sz="8" w:color="071D49"/>
            </w:tcBorders>
          </w:tcPr>
          <w:p>
            <w:pPr>
              <w:spacing w:after="0"/>
              <w:rPr>
                <w:sz w:val="21"/>
                <w:szCs w:val="21"/>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AbbVie’s EEO-1 report on our website starting in 2020</w:t>
            </w:r>
          </w:p>
        </w:tc>
        <w:tc>
          <w:tcPr>
            <w:tcW w:w="0" w:type="dxa"/>
            <w:vAlign w:val="bottom"/>
          </w:tcPr>
          <w:p>
            <w:pPr>
              <w:spacing w:after="0"/>
              <w:rPr>
                <w:sz w:val="1"/>
                <w:szCs w:val="1"/>
                <w:color w:val="auto"/>
              </w:rPr>
            </w:pPr>
          </w:p>
        </w:tc>
      </w:tr>
      <w:tr>
        <w:trPr>
          <w:trHeight w:val="243"/>
        </w:trPr>
        <w:tc>
          <w:tcPr>
            <w:tcW w:w="100" w:type="dxa"/>
            <w:vAlign w:val="bottom"/>
            <w:tcBorders>
              <w:right w:val="single" w:sz="8" w:color="071D49"/>
            </w:tcBorders>
            <w:shd w:val="clear" w:color="auto" w:fill="071D49"/>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tcPr>
          <w:p>
            <w:pPr>
              <w:jc w:val="center"/>
              <w:spacing w:after="0" w:line="243" w:lineRule="exact"/>
              <w:rPr>
                <w:sz w:val="20"/>
                <w:szCs w:val="20"/>
                <w:color w:val="auto"/>
              </w:rPr>
            </w:pPr>
            <w:r>
              <w:rPr>
                <w:rFonts w:ascii="Arial" w:cs="Arial" w:eastAsia="Arial" w:hAnsi="Arial"/>
                <w:sz w:val="22"/>
                <w:szCs w:val="22"/>
                <w:color w:val="auto"/>
                <w:w w:val="98"/>
              </w:rPr>
              <w:t>Governance (ESG)</w:t>
            </w:r>
          </w:p>
        </w:tc>
        <w:tc>
          <w:tcPr>
            <w:tcW w:w="80" w:type="dxa"/>
            <w:vAlign w:val="bottom"/>
            <w:tcBorders>
              <w:right w:val="single" w:sz="8" w:color="071D49"/>
            </w:tcBorders>
          </w:tcPr>
          <w:p>
            <w:pPr>
              <w:spacing w:after="0"/>
              <w:rPr>
                <w:sz w:val="21"/>
                <w:szCs w:val="21"/>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 xml:space="preserve">incorporated an overview of AbbVie’s ESG approach </w:t>
            </w:r>
            <w:r>
              <w:rPr>
                <w:rFonts w:ascii="Arial" w:cs="Arial" w:eastAsia="Arial" w:hAnsi="Arial"/>
                <w:sz w:val="17"/>
                <w:szCs w:val="17"/>
                <w:color w:val="auto"/>
              </w:rPr>
              <w:t>and initiatives in the proxy</w:t>
            </w:r>
          </w:p>
        </w:tc>
        <w:tc>
          <w:tcPr>
            <w:tcW w:w="0" w:type="dxa"/>
            <w:vAlign w:val="bottom"/>
          </w:tcPr>
          <w:p>
            <w:pPr>
              <w:spacing w:after="0"/>
              <w:rPr>
                <w:sz w:val="1"/>
                <w:szCs w:val="1"/>
                <w:color w:val="auto"/>
              </w:rPr>
            </w:pPr>
          </w:p>
        </w:tc>
      </w:tr>
      <w:tr>
        <w:trPr>
          <w:trHeight w:val="259"/>
        </w:trPr>
        <w:tc>
          <w:tcPr>
            <w:tcW w:w="100" w:type="dxa"/>
            <w:vAlign w:val="bottom"/>
            <w:tcBorders>
              <w:right w:val="single" w:sz="8" w:color="071D49"/>
            </w:tcBorders>
            <w:shd w:val="clear" w:color="auto" w:fill="071D49"/>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Arial" w:cs="Arial" w:eastAsia="Arial" w:hAnsi="Arial"/>
                <w:sz w:val="22"/>
                <w:szCs w:val="22"/>
                <w:color w:val="auto"/>
                <w:w w:val="98"/>
              </w:rPr>
              <w:t>Disclosures</w:t>
            </w:r>
          </w:p>
        </w:tc>
        <w:tc>
          <w:tcPr>
            <w:tcW w:w="80" w:type="dxa"/>
            <w:vAlign w:val="bottom"/>
            <w:tcBorders>
              <w:right w:val="single" w:sz="8" w:color="071D49"/>
            </w:tcBorders>
          </w:tcPr>
          <w:p>
            <w:pPr>
              <w:spacing w:after="0"/>
              <w:rPr>
                <w:sz w:val="22"/>
                <w:szCs w:val="22"/>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statement beginning in 2018</w:t>
            </w:r>
          </w:p>
        </w:tc>
        <w:tc>
          <w:tcPr>
            <w:tcW w:w="0" w:type="dxa"/>
            <w:vAlign w:val="bottom"/>
          </w:tcPr>
          <w:p>
            <w:pPr>
              <w:spacing w:after="0"/>
              <w:rPr>
                <w:sz w:val="1"/>
                <w:szCs w:val="1"/>
                <w:color w:val="auto"/>
              </w:rPr>
            </w:pPr>
          </w:p>
        </w:tc>
      </w:tr>
      <w:tr>
        <w:trPr>
          <w:trHeight w:val="227"/>
        </w:trPr>
        <w:tc>
          <w:tcPr>
            <w:tcW w:w="100" w:type="dxa"/>
            <w:vAlign w:val="bottom"/>
            <w:tcBorders>
              <w:right w:val="single" w:sz="8" w:color="071D49"/>
            </w:tcBorders>
            <w:shd w:val="clear" w:color="auto" w:fill="071D49"/>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Borders>
              <w:right w:val="single" w:sz="8" w:color="071D49"/>
            </w:tcBorders>
          </w:tcPr>
          <w:p>
            <w:pPr>
              <w:spacing w:after="0"/>
              <w:rPr>
                <w:sz w:val="19"/>
                <w:szCs w:val="19"/>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expanded the description of AbbVie’s clawback policy</w:t>
            </w:r>
            <w:r>
              <w:rPr>
                <w:rFonts w:ascii="Arial" w:cs="Arial" w:eastAsia="Arial" w:hAnsi="Arial"/>
                <w:sz w:val="17"/>
                <w:szCs w:val="17"/>
                <w:color w:val="auto"/>
              </w:rPr>
              <w:t>, starting in the 2019 proxy</w:t>
            </w: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statement</w:t>
            </w:r>
          </w:p>
        </w:tc>
        <w:tc>
          <w:tcPr>
            <w:tcW w:w="0" w:type="dxa"/>
            <w:vAlign w:val="bottom"/>
          </w:tcPr>
          <w:p>
            <w:pPr>
              <w:spacing w:after="0"/>
              <w:rPr>
                <w:sz w:val="1"/>
                <w:szCs w:val="1"/>
                <w:color w:val="auto"/>
              </w:rPr>
            </w:pPr>
          </w:p>
        </w:tc>
      </w:tr>
      <w:tr>
        <w:trPr>
          <w:trHeight w:val="28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Borders>
              <w:right w:val="single" w:sz="8" w:color="071D49"/>
            </w:tcBorders>
          </w:tcPr>
          <w:p>
            <w:pPr>
              <w:spacing w:after="0"/>
              <w:rPr>
                <w:sz w:val="24"/>
                <w:szCs w:val="24"/>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b w:val="1"/>
                <w:bCs w:val="1"/>
                <w:color w:val="auto"/>
              </w:rPr>
              <w:t>added board diversity data</w:t>
            </w:r>
            <w:r>
              <w:rPr>
                <w:rFonts w:ascii="Arial" w:cs="Arial" w:eastAsia="Arial" w:hAnsi="Arial"/>
                <w:sz w:val="17"/>
                <w:szCs w:val="17"/>
                <w:color w:val="auto"/>
              </w:rPr>
              <w:t>, starting in the 2019 proxy statement, along with an</w:t>
            </w:r>
          </w:p>
        </w:tc>
        <w:tc>
          <w:tcPr>
            <w:tcW w:w="0" w:type="dxa"/>
            <w:vAlign w:val="bottom"/>
          </w:tcPr>
          <w:p>
            <w:pPr>
              <w:spacing w:after="0"/>
              <w:rPr>
                <w:sz w:val="1"/>
                <w:szCs w:val="1"/>
                <w:color w:val="auto"/>
              </w:rPr>
            </w:pPr>
          </w:p>
        </w:tc>
      </w:tr>
      <w:tr>
        <w:trPr>
          <w:trHeight w:val="205"/>
        </w:trPr>
        <w:tc>
          <w:tcPr>
            <w:tcW w:w="100" w:type="dxa"/>
            <w:vAlign w:val="bottom"/>
            <w:tcBorders>
              <w:right w:val="single" w:sz="8" w:color="071D49"/>
            </w:tcBorders>
            <w:shd w:val="clear" w:color="auto" w:fill="071D49"/>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Borders>
              <w:right w:val="single" w:sz="8" w:color="071D49"/>
            </w:tcBorders>
          </w:tcPr>
          <w:p>
            <w:pPr>
              <w:spacing w:after="0"/>
              <w:rPr>
                <w:sz w:val="17"/>
                <w:szCs w:val="17"/>
                <w:color w:val="auto"/>
              </w:rPr>
            </w:pPr>
          </w:p>
        </w:tc>
        <w:tc>
          <w:tcPr>
            <w:tcW w:w="6980" w:type="dxa"/>
            <w:vAlign w:val="bottom"/>
            <w:gridSpan w:val="2"/>
          </w:tcPr>
          <w:p>
            <w:pPr>
              <w:ind w:left="140"/>
              <w:spacing w:after="0"/>
              <w:rPr>
                <w:sz w:val="20"/>
                <w:szCs w:val="20"/>
                <w:color w:val="auto"/>
              </w:rPr>
            </w:pPr>
            <w:r>
              <w:rPr>
                <w:rFonts w:ascii="Arial" w:cs="Arial" w:eastAsia="Arial" w:hAnsi="Arial"/>
                <w:sz w:val="17"/>
                <w:szCs w:val="17"/>
                <w:color w:val="auto"/>
              </w:rPr>
              <w:t>expanded discussion of the value of director diversity in the 2021 proxy statement</w:t>
            </w:r>
          </w:p>
        </w:tc>
        <w:tc>
          <w:tcPr>
            <w:tcW w:w="0" w:type="dxa"/>
            <w:vAlign w:val="bottom"/>
          </w:tcPr>
          <w:p>
            <w:pPr>
              <w:spacing w:after="0"/>
              <w:rPr>
                <w:sz w:val="1"/>
                <w:szCs w:val="1"/>
                <w:color w:val="auto"/>
              </w:rPr>
            </w:pPr>
          </w:p>
        </w:tc>
      </w:tr>
      <w:tr>
        <w:trPr>
          <w:trHeight w:val="99"/>
        </w:trPr>
        <w:tc>
          <w:tcPr>
            <w:tcW w:w="100" w:type="dxa"/>
            <w:vAlign w:val="bottom"/>
            <w:tcBorders>
              <w:right w:val="single" w:sz="8" w:color="071D49"/>
            </w:tcBorders>
            <w:shd w:val="clear" w:color="auto" w:fill="071D49"/>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vMerge w:val="restart"/>
          </w:tcPr>
          <w:p>
            <w:pPr>
              <w:jc w:val="right"/>
              <w:ind w:right="90"/>
              <w:spacing w:after="0"/>
              <w:rPr>
                <w:sz w:val="20"/>
                <w:szCs w:val="20"/>
                <w:color w:val="auto"/>
              </w:rPr>
            </w:pPr>
            <w:r>
              <w:rPr>
                <w:rFonts w:ascii="Arial" w:cs="Arial" w:eastAsia="Arial" w:hAnsi="Arial"/>
                <w:sz w:val="27"/>
                <w:szCs w:val="27"/>
                <w:i w:val="1"/>
                <w:iCs w:val="1"/>
                <w:color w:val="auto"/>
              </w:rPr>
              <w:t>|</w:t>
            </w:r>
          </w:p>
        </w:tc>
        <w:tc>
          <w:tcPr>
            <w:tcW w:w="80" w:type="dxa"/>
            <w:vAlign w:val="bottom"/>
            <w:tcBorders>
              <w:right w:val="single" w:sz="8" w:color="071D49"/>
            </w:tcBorders>
          </w:tcPr>
          <w:p>
            <w:pPr>
              <w:spacing w:after="0"/>
              <w:rPr>
                <w:sz w:val="8"/>
                <w:szCs w:val="8"/>
                <w:color w:val="auto"/>
              </w:rPr>
            </w:pPr>
          </w:p>
        </w:tc>
        <w:tc>
          <w:tcPr>
            <w:tcW w:w="69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755"/>
        </w:trPr>
        <w:tc>
          <w:tcPr>
            <w:tcW w:w="100" w:type="dxa"/>
            <w:vAlign w:val="bottom"/>
          </w:tcPr>
          <w:p>
            <w:pPr>
              <w:spacing w:after="0"/>
              <w:rPr>
                <w:sz w:val="24"/>
                <w:szCs w:val="2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6</w:t>
            </w:r>
          </w:p>
        </w:tc>
        <w:tc>
          <w:tcPr>
            <w:tcW w:w="2000" w:type="dxa"/>
            <w:vAlign w:val="bottom"/>
            <w:vMerge w:val="continue"/>
          </w:tcPr>
          <w:p>
            <w:pPr>
              <w:spacing w:after="0"/>
              <w:rPr>
                <w:sz w:val="24"/>
                <w:szCs w:val="24"/>
                <w:color w:val="auto"/>
              </w:rPr>
            </w:pPr>
          </w:p>
        </w:tc>
        <w:tc>
          <w:tcPr>
            <w:tcW w:w="7060" w:type="dxa"/>
            <w:vAlign w:val="bottom"/>
            <w:gridSpan w:val="3"/>
          </w:tcPr>
          <w:p>
            <w:pPr>
              <w:ind w:left="40"/>
              <w:spacing w:after="0"/>
              <w:rPr>
                <w:sz w:val="20"/>
                <w:szCs w:val="20"/>
                <w:color w:val="auto"/>
              </w:rPr>
            </w:pPr>
            <w:r>
              <w:rPr>
                <w:rFonts w:ascii="Arial" w:cs="Arial" w:eastAsia="Arial" w:hAnsi="Arial"/>
                <w:sz w:val="18"/>
                <w:szCs w:val="18"/>
                <w:i w:val="1"/>
                <w:iCs w:val="1"/>
                <w:color w:val="auto"/>
              </w:rPr>
              <w:t>2022 Proxy Statement</w:t>
            </w:r>
          </w:p>
        </w:tc>
        <w:tc>
          <w:tcPr>
            <w:tcW w:w="0" w:type="dxa"/>
            <w:vAlign w:val="bottom"/>
          </w:tcPr>
          <w:p>
            <w:pPr>
              <w:spacing w:after="0"/>
              <w:rPr>
                <w:sz w:val="1"/>
                <w:szCs w:val="1"/>
                <w:color w:val="auto"/>
              </w:rPr>
            </w:pPr>
          </w:p>
        </w:tc>
      </w:tr>
      <w:tr>
        <w:trPr>
          <w:trHeight w:val="534"/>
        </w:trPr>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-539115</wp:posOffset>
            </wp:positionV>
            <wp:extent cx="87439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320"/>
          </w:cols>
          <w:pgMar w:left="1260" w:top="530" w:right="1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Additional highlights of our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38233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233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80808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407670</wp:posOffset>
            </wp:positionV>
            <wp:extent cx="189420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6600" w:space="720"/>
            <w:col w:w="1940"/>
          </w:cols>
          <w:pgMar w:left="1320" w:top="530" w:right="1319" w:bottom="1440" w:gutter="0" w:footer="0" w:header="0"/>
        </w:sectPr>
      </w:pPr>
    </w:p>
    <w:p>
      <w:pPr>
        <w:ind w:left="100"/>
        <w:spacing w:after="0"/>
        <w:rPr>
          <w:sz w:val="20"/>
          <w:szCs w:val="20"/>
          <w:color w:val="auto"/>
        </w:rPr>
      </w:pPr>
      <w:r>
        <w:rPr>
          <w:rFonts w:ascii="Arial" w:cs="Arial" w:eastAsia="Arial" w:hAnsi="Arial"/>
          <w:sz w:val="18"/>
          <w:szCs w:val="18"/>
          <w:b w:val="1"/>
          <w:bCs w:val="1"/>
          <w:color w:val="071D49"/>
        </w:rPr>
        <w:t>Director independence</w:t>
      </w:r>
    </w:p>
    <w:p>
      <w:pPr>
        <w:spacing w:after="0" w:line="126" w:lineRule="exact"/>
        <w:rPr>
          <w:sz w:val="20"/>
          <w:szCs w:val="20"/>
          <w:color w:val="auto"/>
        </w:rPr>
      </w:pPr>
    </w:p>
    <w:p>
      <w:pPr>
        <w:ind w:left="300" w:right="40" w:hanging="203"/>
        <w:spacing w:after="0" w:line="238" w:lineRule="auto"/>
        <w:tabs>
          <w:tab w:leader="none" w:pos="304" w:val="left"/>
        </w:tabs>
        <w:numPr>
          <w:ilvl w:val="0"/>
          <w:numId w:val="6"/>
        </w:numPr>
        <w:rPr>
          <w:rFonts w:ascii="MS PGothic" w:cs="MS PGothic" w:eastAsia="MS PGothic" w:hAnsi="MS PGothic"/>
          <w:sz w:val="18"/>
          <w:szCs w:val="18"/>
          <w:color w:val="071D49"/>
        </w:rPr>
      </w:pPr>
      <w:r>
        <w:rPr>
          <w:rFonts w:ascii="Arial" w:cs="Arial" w:eastAsia="Arial" w:hAnsi="Arial"/>
          <w:sz w:val="18"/>
          <w:szCs w:val="18"/>
          <w:color w:val="auto"/>
        </w:rPr>
        <w:t>Eleven of AbbVie’s twelve directors are independent and regularly meet in executive session</w:t>
      </w:r>
    </w:p>
    <w:p>
      <w:pPr>
        <w:spacing w:after="0" w:line="2" w:lineRule="exact"/>
        <w:rPr>
          <w:rFonts w:ascii="MS PGothic" w:cs="MS PGothic" w:eastAsia="MS PGothic" w:hAnsi="MS PGothic"/>
          <w:sz w:val="18"/>
          <w:szCs w:val="18"/>
          <w:color w:val="071D49"/>
        </w:rPr>
      </w:pPr>
    </w:p>
    <w:p>
      <w:pPr>
        <w:ind w:left="300" w:right="120" w:hanging="203"/>
        <w:spacing w:after="0" w:line="238" w:lineRule="auto"/>
        <w:tabs>
          <w:tab w:leader="none" w:pos="304" w:val="left"/>
        </w:tabs>
        <w:numPr>
          <w:ilvl w:val="0"/>
          <w:numId w:val="6"/>
        </w:numPr>
        <w:rPr>
          <w:rFonts w:ascii="MS PGothic" w:cs="MS PGothic" w:eastAsia="MS PGothic" w:hAnsi="MS PGothic"/>
          <w:sz w:val="18"/>
          <w:szCs w:val="18"/>
          <w:color w:val="071D49"/>
        </w:rPr>
      </w:pPr>
      <w:r>
        <w:rPr>
          <w:rFonts w:ascii="Arial" w:cs="Arial" w:eastAsia="Arial" w:hAnsi="Arial"/>
          <w:sz w:val="18"/>
          <w:szCs w:val="18"/>
          <w:color w:val="auto"/>
        </w:rPr>
        <w:t>Since our inception, we have had a lead independent director with robust responsibilities</w:t>
      </w:r>
    </w:p>
    <w:p>
      <w:pPr>
        <w:spacing w:after="0" w:line="2" w:lineRule="exact"/>
        <w:rPr>
          <w:rFonts w:ascii="MS PGothic" w:cs="MS PGothic" w:eastAsia="MS PGothic" w:hAnsi="MS PGothic"/>
          <w:sz w:val="18"/>
          <w:szCs w:val="18"/>
          <w:color w:val="071D49"/>
        </w:rPr>
      </w:pPr>
    </w:p>
    <w:p>
      <w:pPr>
        <w:ind w:left="300" w:right="220" w:hanging="203"/>
        <w:spacing w:after="0" w:line="241" w:lineRule="auto"/>
        <w:tabs>
          <w:tab w:leader="none" w:pos="294" w:val="left"/>
        </w:tabs>
        <w:numPr>
          <w:ilvl w:val="0"/>
          <w:numId w:val="6"/>
        </w:numPr>
        <w:rPr>
          <w:rFonts w:ascii="MS PGothic" w:cs="MS PGothic" w:eastAsia="MS PGothic" w:hAnsi="MS PGothic"/>
          <w:sz w:val="18"/>
          <w:szCs w:val="18"/>
          <w:color w:val="071D49"/>
        </w:rPr>
      </w:pPr>
      <w:r>
        <w:rPr>
          <w:rFonts w:ascii="Arial" w:cs="Arial" w:eastAsia="Arial" w:hAnsi="Arial"/>
          <w:sz w:val="18"/>
          <w:szCs w:val="18"/>
          <w:color w:val="auto"/>
        </w:rPr>
        <w:t>All members of our audit, compensation, nominations and governance, and public policy committees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18345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00" w:right="620"/>
        <w:spacing w:after="0" w:line="271" w:lineRule="auto"/>
        <w:rPr>
          <w:sz w:val="20"/>
          <w:szCs w:val="20"/>
          <w:color w:val="auto"/>
        </w:rPr>
      </w:pPr>
      <w:r>
        <w:rPr>
          <w:rFonts w:ascii="Arial" w:cs="Arial" w:eastAsia="Arial" w:hAnsi="Arial"/>
          <w:sz w:val="18"/>
          <w:szCs w:val="18"/>
          <w:b w:val="1"/>
          <w:bCs w:val="1"/>
          <w:color w:val="071D49"/>
        </w:rPr>
        <w:t>Board composition and effectiveness</w:t>
      </w:r>
    </w:p>
    <w:p>
      <w:pPr>
        <w:spacing w:after="0" w:line="68" w:lineRule="exact"/>
        <w:rPr>
          <w:sz w:val="20"/>
          <w:szCs w:val="20"/>
          <w:color w:val="auto"/>
        </w:rPr>
      </w:pPr>
    </w:p>
    <w:p>
      <w:pPr>
        <w:ind w:left="300" w:right="100" w:hanging="203"/>
        <w:spacing w:after="0" w:line="238" w:lineRule="auto"/>
        <w:tabs>
          <w:tab w:leader="none" w:pos="304" w:val="left"/>
        </w:tabs>
        <w:numPr>
          <w:ilvl w:val="0"/>
          <w:numId w:val="7"/>
        </w:numPr>
        <w:rPr>
          <w:rFonts w:ascii="MS PGothic" w:cs="MS PGothic" w:eastAsia="MS PGothic" w:hAnsi="MS PGothic"/>
          <w:sz w:val="18"/>
          <w:szCs w:val="18"/>
          <w:color w:val="071D49"/>
        </w:rPr>
      </w:pPr>
      <w:r>
        <w:rPr>
          <w:rFonts w:ascii="Arial" w:cs="Arial" w:eastAsia="Arial" w:hAnsi="Arial"/>
          <w:sz w:val="18"/>
          <w:szCs w:val="18"/>
          <w:color w:val="auto"/>
        </w:rPr>
        <w:t>Our governance guidelines restrict the number of boards our directors may serve on to prevent overboarding</w:t>
      </w:r>
    </w:p>
    <w:p>
      <w:pPr>
        <w:spacing w:after="0" w:line="2" w:lineRule="exact"/>
        <w:rPr>
          <w:rFonts w:ascii="MS PGothic" w:cs="MS PGothic" w:eastAsia="MS PGothic" w:hAnsi="MS PGothic"/>
          <w:sz w:val="18"/>
          <w:szCs w:val="18"/>
          <w:color w:val="071D49"/>
        </w:rPr>
      </w:pPr>
    </w:p>
    <w:p>
      <w:pPr>
        <w:jc w:val="both"/>
        <w:ind w:left="300" w:right="100" w:hanging="203"/>
        <w:spacing w:after="0" w:line="254" w:lineRule="auto"/>
        <w:tabs>
          <w:tab w:leader="none" w:pos="294" w:val="left"/>
        </w:tabs>
        <w:numPr>
          <w:ilvl w:val="0"/>
          <w:numId w:val="7"/>
        </w:numPr>
        <w:rPr>
          <w:rFonts w:ascii="MS PGothic" w:cs="MS PGothic" w:eastAsia="MS PGothic" w:hAnsi="MS PGothic"/>
          <w:sz w:val="17"/>
          <w:szCs w:val="17"/>
          <w:color w:val="071D49"/>
        </w:rPr>
      </w:pPr>
      <w:r>
        <w:rPr>
          <w:rFonts w:ascii="Arial" w:cs="Arial" w:eastAsia="Arial" w:hAnsi="Arial"/>
          <w:sz w:val="17"/>
          <w:szCs w:val="17"/>
          <w:color w:val="auto"/>
        </w:rPr>
        <w:t>Annual board and committee self-assessments and annual board succession planning</w:t>
      </w:r>
    </w:p>
    <w:p>
      <w:pPr>
        <w:ind w:left="300" w:hanging="203"/>
        <w:spacing w:after="0" w:line="255" w:lineRule="auto"/>
        <w:tabs>
          <w:tab w:leader="none" w:pos="304" w:val="left"/>
        </w:tabs>
        <w:numPr>
          <w:ilvl w:val="0"/>
          <w:numId w:val="7"/>
        </w:numPr>
        <w:rPr>
          <w:rFonts w:ascii="MS PGothic" w:cs="MS PGothic" w:eastAsia="MS PGothic" w:hAnsi="MS PGothic"/>
          <w:sz w:val="17"/>
          <w:szCs w:val="17"/>
          <w:color w:val="071D49"/>
        </w:rPr>
      </w:pPr>
      <w:r>
        <w:rPr>
          <w:rFonts w:ascii="Arial" w:cs="Arial" w:eastAsia="Arial" w:hAnsi="Arial"/>
          <w:sz w:val="17"/>
          <w:szCs w:val="17"/>
          <w:color w:val="auto"/>
        </w:rPr>
        <w:t>For inclusion on the board, the nominations and governance committee considers diversity of race, ethnicity, gender, and geography, together with other voluntarily identified diversity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18345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71D49"/>
        </w:rPr>
        <w:t>Stockholder rights</w:t>
      </w:r>
    </w:p>
    <w:p>
      <w:pPr>
        <w:spacing w:after="0" w:line="126" w:lineRule="exact"/>
        <w:rPr>
          <w:sz w:val="20"/>
          <w:szCs w:val="20"/>
          <w:color w:val="auto"/>
        </w:rPr>
      </w:pPr>
    </w:p>
    <w:p>
      <w:pPr>
        <w:ind w:left="200" w:right="160" w:hanging="191"/>
        <w:spacing w:after="0" w:line="242" w:lineRule="auto"/>
        <w:tabs>
          <w:tab w:leader="none" w:pos="194" w:val="left"/>
        </w:tabs>
        <w:numPr>
          <w:ilvl w:val="0"/>
          <w:numId w:val="8"/>
        </w:numPr>
        <w:rPr>
          <w:rFonts w:ascii="MS PGothic" w:cs="MS PGothic" w:eastAsia="MS PGothic" w:hAnsi="MS PGothic"/>
          <w:sz w:val="18"/>
          <w:szCs w:val="18"/>
          <w:color w:val="071D49"/>
        </w:rPr>
      </w:pPr>
      <w:r>
        <w:rPr>
          <w:rFonts w:ascii="Arial" w:cs="Arial" w:eastAsia="Arial" w:hAnsi="Arial"/>
          <w:sz w:val="18"/>
          <w:szCs w:val="18"/>
          <w:color w:val="auto"/>
        </w:rPr>
        <w:t>Adopted a proxy access By-Law provision for 3%/3 years</w:t>
      </w:r>
    </w:p>
    <w:p>
      <w:pPr>
        <w:spacing w:after="0" w:line="1" w:lineRule="exact"/>
        <w:rPr>
          <w:rFonts w:ascii="MS PGothic" w:cs="MS PGothic" w:eastAsia="MS PGothic" w:hAnsi="MS PGothic"/>
          <w:sz w:val="18"/>
          <w:szCs w:val="18"/>
          <w:color w:val="071D49"/>
        </w:rPr>
      </w:pPr>
    </w:p>
    <w:p>
      <w:pPr>
        <w:ind w:left="200" w:right="100" w:hanging="191"/>
        <w:spacing w:after="0" w:line="256" w:lineRule="auto"/>
        <w:tabs>
          <w:tab w:leader="none" w:pos="204" w:val="left"/>
        </w:tabs>
        <w:numPr>
          <w:ilvl w:val="0"/>
          <w:numId w:val="8"/>
        </w:numPr>
        <w:rPr>
          <w:rFonts w:ascii="MS PGothic" w:cs="MS PGothic" w:eastAsia="MS PGothic" w:hAnsi="MS PGothic"/>
          <w:sz w:val="17"/>
          <w:szCs w:val="17"/>
          <w:color w:val="071D49"/>
        </w:rPr>
      </w:pPr>
      <w:r>
        <w:rPr>
          <w:rFonts w:ascii="Arial" w:cs="Arial" w:eastAsia="Arial" w:hAnsi="Arial"/>
          <w:sz w:val="17"/>
          <w:szCs w:val="17"/>
          <w:color w:val="auto"/>
        </w:rPr>
        <w:t>We do not have a stockholder rights plan or “poison pill”</w:t>
      </w:r>
    </w:p>
    <w:p>
      <w:pPr>
        <w:spacing w:after="0" w:line="1" w:lineRule="exact"/>
        <w:rPr>
          <w:rFonts w:ascii="MS PGothic" w:cs="MS PGothic" w:eastAsia="MS PGothic" w:hAnsi="MS PGothic"/>
          <w:sz w:val="17"/>
          <w:szCs w:val="17"/>
          <w:color w:val="071D49"/>
        </w:rPr>
      </w:pPr>
    </w:p>
    <w:p>
      <w:pPr>
        <w:ind w:left="200" w:hanging="191"/>
        <w:spacing w:after="0" w:line="239" w:lineRule="auto"/>
        <w:tabs>
          <w:tab w:leader="none" w:pos="204" w:val="left"/>
        </w:tabs>
        <w:numPr>
          <w:ilvl w:val="0"/>
          <w:numId w:val="8"/>
        </w:numPr>
        <w:rPr>
          <w:rFonts w:ascii="MS PGothic" w:cs="MS PGothic" w:eastAsia="MS PGothic" w:hAnsi="MS PGothic"/>
          <w:sz w:val="18"/>
          <w:szCs w:val="18"/>
          <w:color w:val="071D49"/>
        </w:rPr>
      </w:pPr>
      <w:r>
        <w:rPr>
          <w:rFonts w:ascii="Arial" w:cs="Arial" w:eastAsia="Arial" w:hAnsi="Arial"/>
          <w:sz w:val="18"/>
          <w:szCs w:val="18"/>
          <w:color w:val="auto"/>
        </w:rPr>
        <w:t>Our directors are elected by a majority vote of our stockholders for uncontested elections, and we have a resignation policy if the director fails to receive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464820</wp:posOffset>
            </wp:positionV>
            <wp:extent cx="18345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color w:val="071D49"/>
        </w:rPr>
        <w:t>Clawback and anti-hedging and anti-pledging policies</w:t>
      </w:r>
    </w:p>
    <w:p>
      <w:pPr>
        <w:spacing w:after="0" w:line="68" w:lineRule="exact"/>
        <w:rPr>
          <w:sz w:val="20"/>
          <w:szCs w:val="20"/>
          <w:color w:val="auto"/>
        </w:rPr>
      </w:pPr>
    </w:p>
    <w:p>
      <w:pPr>
        <w:ind w:left="200" w:right="40" w:hanging="191"/>
        <w:spacing w:after="0"/>
        <w:tabs>
          <w:tab w:leader="none" w:pos="201" w:val="left"/>
        </w:tabs>
        <w:numPr>
          <w:ilvl w:val="0"/>
          <w:numId w:val="9"/>
        </w:numPr>
        <w:rPr>
          <w:rFonts w:ascii="MS PGothic" w:cs="MS PGothic" w:eastAsia="MS PGothic" w:hAnsi="MS PGothic"/>
          <w:sz w:val="18"/>
          <w:szCs w:val="18"/>
          <w:color w:val="071D49"/>
        </w:rPr>
      </w:pPr>
      <w:r>
        <w:rPr>
          <w:rFonts w:ascii="Arial" w:cs="Arial" w:eastAsia="Arial" w:hAnsi="Arial"/>
          <w:sz w:val="18"/>
          <w:szCs w:val="18"/>
          <w:color w:val="auto"/>
        </w:rPr>
        <w:t>The Board has broad authority to recover incentive plan awards</w:t>
      </w:r>
    </w:p>
    <w:p>
      <w:pPr>
        <w:ind w:left="200" w:right="20" w:hanging="191"/>
        <w:spacing w:after="0" w:line="237" w:lineRule="auto"/>
        <w:tabs>
          <w:tab w:leader="none" w:pos="204" w:val="left"/>
        </w:tabs>
        <w:numPr>
          <w:ilvl w:val="0"/>
          <w:numId w:val="9"/>
        </w:numPr>
        <w:rPr>
          <w:rFonts w:ascii="MS PGothic" w:cs="MS PGothic" w:eastAsia="MS PGothic" w:hAnsi="MS PGothic"/>
          <w:sz w:val="18"/>
          <w:szCs w:val="18"/>
          <w:color w:val="071D49"/>
        </w:rPr>
      </w:pPr>
      <w:r>
        <w:rPr>
          <w:rFonts w:ascii="Arial" w:cs="Arial" w:eastAsia="Arial" w:hAnsi="Arial"/>
          <w:sz w:val="18"/>
          <w:szCs w:val="18"/>
          <w:color w:val="auto"/>
        </w:rPr>
        <w:t>Directors and executive officers are prohibited from buying or selling any financial instruments designed to hedge or offset any decrease in the market value of AbbVie equity securities they hold</w:t>
      </w:r>
    </w:p>
    <w:p>
      <w:pPr>
        <w:ind w:left="200" w:right="340" w:hanging="191"/>
        <w:spacing w:after="0" w:line="262" w:lineRule="auto"/>
        <w:tabs>
          <w:tab w:leader="none" w:pos="204" w:val="left"/>
        </w:tabs>
        <w:numPr>
          <w:ilvl w:val="0"/>
          <w:numId w:val="9"/>
        </w:numPr>
        <w:rPr>
          <w:rFonts w:ascii="MS PGothic" w:cs="MS PGothic" w:eastAsia="MS PGothic" w:hAnsi="MS PGothic"/>
          <w:sz w:val="17"/>
          <w:szCs w:val="17"/>
          <w:color w:val="071D49"/>
        </w:rPr>
      </w:pPr>
      <w:r>
        <w:rPr>
          <w:rFonts w:ascii="Arial" w:cs="Arial" w:eastAsia="Arial" w:hAnsi="Arial"/>
          <w:sz w:val="17"/>
          <w:szCs w:val="17"/>
          <w:color w:val="auto"/>
        </w:rPr>
        <w:t>Directors and executive officers are prohibited from pledging AbbVie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58420</wp:posOffset>
            </wp:positionV>
            <wp:extent cx="18345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140"/>
        <w:spacing w:after="0" w:line="300" w:lineRule="auto"/>
        <w:rPr>
          <w:sz w:val="20"/>
          <w:szCs w:val="20"/>
          <w:color w:val="auto"/>
        </w:rPr>
      </w:pPr>
      <w:r>
        <w:rPr>
          <w:rFonts w:ascii="Arial" w:cs="Arial" w:eastAsia="Arial" w:hAnsi="Arial"/>
          <w:sz w:val="17"/>
          <w:szCs w:val="17"/>
          <w:b w:val="1"/>
          <w:bCs w:val="1"/>
          <w:color w:val="071D49"/>
        </w:rPr>
        <w:t>Board and executive accountability</w:t>
      </w:r>
    </w:p>
    <w:p>
      <w:pPr>
        <w:spacing w:after="0" w:line="46" w:lineRule="exact"/>
        <w:rPr>
          <w:sz w:val="20"/>
          <w:szCs w:val="20"/>
          <w:color w:val="auto"/>
        </w:rPr>
      </w:pPr>
    </w:p>
    <w:p>
      <w:pPr>
        <w:ind w:left="200" w:right="340" w:hanging="199"/>
        <w:spacing w:after="0" w:line="238" w:lineRule="auto"/>
        <w:tabs>
          <w:tab w:leader="none" w:pos="204" w:val="left"/>
        </w:tabs>
        <w:numPr>
          <w:ilvl w:val="0"/>
          <w:numId w:val="10"/>
        </w:numPr>
        <w:rPr>
          <w:rFonts w:ascii="MS PGothic" w:cs="MS PGothic" w:eastAsia="MS PGothic" w:hAnsi="MS PGothic"/>
          <w:sz w:val="18"/>
          <w:szCs w:val="18"/>
          <w:color w:val="071D49"/>
        </w:rPr>
      </w:pPr>
      <w:r>
        <w:rPr>
          <w:rFonts w:ascii="Arial" w:cs="Arial" w:eastAsia="Arial" w:hAnsi="Arial"/>
          <w:sz w:val="18"/>
          <w:szCs w:val="18"/>
          <w:color w:val="071D49"/>
        </w:rPr>
        <w:t>A</w:t>
      </w:r>
      <w:r>
        <w:rPr>
          <w:rFonts w:ascii="Arial" w:cs="Arial" w:eastAsia="Arial" w:hAnsi="Arial"/>
          <w:sz w:val="18"/>
          <w:szCs w:val="18"/>
          <w:color w:val="000000"/>
        </w:rPr>
        <w:t>nnual executive succession</w:t>
      </w:r>
      <w:r>
        <w:rPr>
          <w:rFonts w:ascii="Arial" w:cs="Arial" w:eastAsia="Arial" w:hAnsi="Arial"/>
          <w:sz w:val="18"/>
          <w:szCs w:val="18"/>
          <w:color w:val="071D49"/>
        </w:rPr>
        <w:t xml:space="preserve"> </w:t>
      </w:r>
      <w:r>
        <w:rPr>
          <w:rFonts w:ascii="Arial" w:cs="Arial" w:eastAsia="Arial" w:hAnsi="Arial"/>
          <w:sz w:val="18"/>
          <w:szCs w:val="18"/>
          <w:color w:val="000000"/>
        </w:rPr>
        <w:t>planning, including an assessment of the diversity of executive candidates</w:t>
      </w:r>
    </w:p>
    <w:p>
      <w:pPr>
        <w:spacing w:after="0" w:line="2" w:lineRule="exact"/>
        <w:rPr>
          <w:rFonts w:ascii="MS PGothic" w:cs="MS PGothic" w:eastAsia="MS PGothic" w:hAnsi="MS PGothic"/>
          <w:sz w:val="18"/>
          <w:szCs w:val="18"/>
          <w:color w:val="071D49"/>
        </w:rPr>
      </w:pPr>
    </w:p>
    <w:p>
      <w:pPr>
        <w:ind w:left="200" w:right="360" w:hanging="199"/>
        <w:spacing w:after="0"/>
        <w:tabs>
          <w:tab w:leader="none" w:pos="204" w:val="left"/>
        </w:tabs>
        <w:numPr>
          <w:ilvl w:val="0"/>
          <w:numId w:val="10"/>
        </w:numPr>
        <w:rPr>
          <w:rFonts w:ascii="MS PGothic" w:cs="MS PGothic" w:eastAsia="MS PGothic" w:hAnsi="MS PGothic"/>
          <w:sz w:val="18"/>
          <w:szCs w:val="18"/>
          <w:color w:val="071D49"/>
        </w:rPr>
      </w:pPr>
      <w:r>
        <w:rPr>
          <w:rFonts w:ascii="Arial" w:cs="Arial" w:eastAsia="Arial" w:hAnsi="Arial"/>
          <w:sz w:val="18"/>
          <w:szCs w:val="18"/>
          <w:color w:val="auto"/>
        </w:rPr>
        <w:t>Minimum stock ownership guidelines are in place for the CEO and other NEOs</w:t>
      </w:r>
    </w:p>
    <w:p>
      <w:pPr>
        <w:ind w:left="200" w:right="520" w:hanging="199"/>
        <w:spacing w:after="0" w:line="254" w:lineRule="auto"/>
        <w:tabs>
          <w:tab w:leader="none" w:pos="204" w:val="left"/>
        </w:tabs>
        <w:numPr>
          <w:ilvl w:val="0"/>
          <w:numId w:val="10"/>
        </w:numPr>
        <w:rPr>
          <w:rFonts w:ascii="MS PGothic" w:cs="MS PGothic" w:eastAsia="MS PGothic" w:hAnsi="MS PGothic"/>
          <w:sz w:val="17"/>
          <w:szCs w:val="17"/>
          <w:color w:val="071D49"/>
        </w:rPr>
      </w:pPr>
      <w:r>
        <w:rPr>
          <w:rFonts w:ascii="Arial" w:cs="Arial" w:eastAsia="Arial" w:hAnsi="Arial"/>
          <w:sz w:val="17"/>
          <w:szCs w:val="17"/>
          <w:color w:val="auto"/>
        </w:rPr>
        <w:t>We have a related person transaction policy to ensure appropriate oversight</w:t>
      </w:r>
    </w:p>
    <w:p>
      <w:pPr>
        <w:ind w:left="200" w:right="260" w:hanging="199"/>
        <w:spacing w:after="0" w:line="248" w:lineRule="auto"/>
        <w:tabs>
          <w:tab w:leader="none" w:pos="204" w:val="left"/>
        </w:tabs>
        <w:numPr>
          <w:ilvl w:val="0"/>
          <w:numId w:val="10"/>
        </w:numPr>
        <w:rPr>
          <w:rFonts w:ascii="MS PGothic" w:cs="MS PGothic" w:eastAsia="MS PGothic" w:hAnsi="MS PGothic"/>
          <w:sz w:val="18"/>
          <w:szCs w:val="18"/>
          <w:color w:val="071D49"/>
        </w:rPr>
      </w:pPr>
      <w:r>
        <w:rPr>
          <w:rFonts w:ascii="Arial" w:cs="Arial" w:eastAsia="Arial" w:hAnsi="Arial"/>
          <w:sz w:val="18"/>
          <w:szCs w:val="18"/>
          <w:color w:val="auto"/>
        </w:rPr>
        <w:t>We hold an annual say-on-pay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64770</wp:posOffset>
            </wp:positionV>
            <wp:extent cx="189420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Other ESG practices</w:t>
      </w:r>
    </w:p>
    <w:p>
      <w:pPr>
        <w:spacing w:after="0" w:line="126" w:lineRule="exact"/>
        <w:rPr>
          <w:sz w:val="20"/>
          <w:szCs w:val="20"/>
          <w:color w:val="auto"/>
        </w:rPr>
      </w:pPr>
    </w:p>
    <w:p>
      <w:pPr>
        <w:jc w:val="both"/>
        <w:ind w:left="200" w:right="380" w:hanging="199"/>
        <w:spacing w:after="0"/>
        <w:tabs>
          <w:tab w:leader="none" w:pos="194" w:val="left"/>
        </w:tabs>
        <w:numPr>
          <w:ilvl w:val="0"/>
          <w:numId w:val="11"/>
        </w:numPr>
        <w:rPr>
          <w:rFonts w:ascii="MS PGothic" w:cs="MS PGothic" w:eastAsia="MS PGothic" w:hAnsi="MS PGothic"/>
          <w:sz w:val="18"/>
          <w:szCs w:val="18"/>
          <w:color w:val="071D49"/>
        </w:rPr>
      </w:pPr>
      <w:r>
        <w:rPr>
          <w:rFonts w:ascii="Arial" w:cs="Arial" w:eastAsia="Arial" w:hAnsi="Arial"/>
          <w:sz w:val="18"/>
          <w:szCs w:val="18"/>
          <w:color w:val="auto"/>
        </w:rPr>
        <w:t>All executives have ESG and equity, equality, diversity, and inclusion goals</w:t>
      </w:r>
    </w:p>
    <w:p>
      <w:pPr>
        <w:ind w:left="200" w:right="220" w:hanging="199"/>
        <w:spacing w:after="0"/>
        <w:tabs>
          <w:tab w:leader="none" w:pos="204" w:val="left"/>
        </w:tabs>
        <w:numPr>
          <w:ilvl w:val="0"/>
          <w:numId w:val="11"/>
        </w:numPr>
        <w:rPr>
          <w:rFonts w:ascii="MS PGothic" w:cs="MS PGothic" w:eastAsia="MS PGothic" w:hAnsi="MS PGothic"/>
          <w:sz w:val="18"/>
          <w:szCs w:val="18"/>
          <w:color w:val="071D49"/>
        </w:rPr>
      </w:pPr>
      <w:r>
        <w:rPr>
          <w:rFonts w:ascii="Arial" w:cs="Arial" w:eastAsia="Arial" w:hAnsi="Arial"/>
          <w:sz w:val="18"/>
          <w:szCs w:val="18"/>
          <w:color w:val="auto"/>
        </w:rPr>
        <w:t>We are guided by strong ethics programs and supplier guidelines</w:t>
      </w:r>
    </w:p>
    <w:p>
      <w:pPr>
        <w:ind w:left="200" w:right="220" w:hanging="199"/>
        <w:spacing w:after="0" w:line="257" w:lineRule="auto"/>
        <w:tabs>
          <w:tab w:leader="none" w:pos="204" w:val="left"/>
        </w:tabs>
        <w:numPr>
          <w:ilvl w:val="0"/>
          <w:numId w:val="11"/>
        </w:numPr>
        <w:rPr>
          <w:rFonts w:ascii="MS PGothic" w:cs="MS PGothic" w:eastAsia="MS PGothic" w:hAnsi="MS PGothic"/>
          <w:sz w:val="17"/>
          <w:szCs w:val="17"/>
          <w:color w:val="071D49"/>
        </w:rPr>
      </w:pPr>
      <w:r>
        <w:rPr>
          <w:rFonts w:ascii="Arial" w:cs="Arial" w:eastAsia="Arial" w:hAnsi="Arial"/>
          <w:sz w:val="17"/>
          <w:szCs w:val="17"/>
          <w:color w:val="auto"/>
        </w:rPr>
        <w:t>We disclose our corporate political contributions, our trade association memberships, and oversight process on our website and expanded these disclosures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445770</wp:posOffset>
            </wp:positionV>
            <wp:extent cx="189420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810" w:lineRule="exact"/>
        <w:rPr>
          <w:sz w:val="20"/>
          <w:szCs w:val="20"/>
          <w:color w:val="auto"/>
        </w:rPr>
      </w:pPr>
    </w:p>
    <w:p>
      <w:pPr>
        <w:sectPr>
          <w:pgSz w:w="11900" w:h="16838" w:orient="portrait"/>
          <w:cols w:equalWidth="0" w:num="3">
            <w:col w:w="2720" w:space="500"/>
            <w:col w:w="2680" w:space="460"/>
            <w:col w:w="2900"/>
          </w:cols>
          <w:pgMar w:left="1320" w:top="530"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240" w:type="dxa"/>
            <w:vAlign w:val="bottom"/>
          </w:tcPr>
          <w:p>
            <w:pPr>
              <w:ind w:left="52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34"/>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-548005</wp:posOffset>
            </wp:positionV>
            <wp:extent cx="87439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PROXY SUMMARY</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Our ESG Highlights</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Acting responsibly is ingrained in everything we do and is how we drive a long-term, sustainable business that makes a genuine and lasting positive impact for patients, employees, and communities. During 2021, we enhanced our environmental, social, and governance (ESG) framework and governance while continuing to take meaningful action to deliver sustainable solutions that improve the health of our business and society.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Our ESG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pacing w:after="0" w:line="231" w:lineRule="exact"/>
        <w:rPr>
          <w:sz w:val="20"/>
          <w:szCs w:val="20"/>
          <w:color w:val="auto"/>
        </w:rPr>
      </w:pPr>
    </w:p>
    <w:p>
      <w:pPr>
        <w:jc w:val="both"/>
        <w:ind w:right="340"/>
        <w:spacing w:after="0" w:line="257" w:lineRule="auto"/>
        <w:rPr>
          <w:sz w:val="20"/>
          <w:szCs w:val="20"/>
          <w:color w:val="auto"/>
        </w:rPr>
      </w:pPr>
      <w:r>
        <w:rPr>
          <w:rFonts w:ascii="Arial" w:cs="Arial" w:eastAsia="Arial" w:hAnsi="Arial"/>
          <w:sz w:val="17"/>
          <w:szCs w:val="17"/>
          <w:color w:val="auto"/>
        </w:rPr>
        <w:t>Our ESG Framework is built around three foundational pillars that align with our enterprise goals and principles. These have been developed based on an analysis of our material issues, taking into account the topics of most interest and relevance to our company and our stakeholders—including our patients and patient organizations, employees, investors, regulators &amp; government, payers &amp; providers, suppliers, and nonprofit partners.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Collaboration with stakeholders is critical to our success—our goal is value creation through building engaging and long-term relationships with all our partners and stakeholders. We engage in regular dialogue with a wide variety of stakeholders to understand their evolving needs, interests, and expectations of AbbVie. From these interactions, we develop our understanding of material drivers and identify additional opportunities to improve and make an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5871845" cy="1842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71845" cy="1842770"/>
                    </a:xfrm>
                    <a:prstGeom prst="rect">
                      <a:avLst/>
                    </a:prstGeom>
                    <a:noFill/>
                  </pic:spPr>
                </pic:pic>
              </a:graphicData>
            </a:graphic>
          </wp:anchor>
        </w:drawing>
      </w:r>
    </w:p>
    <w:p>
      <w:pPr>
        <w:sectPr>
          <w:pgSz w:w="11900" w:h="16838" w:orient="portrait"/>
          <w:cols w:equalWidth="0" w:num="1">
            <w:col w:w="9200"/>
          </w:cols>
          <w:pgMar w:left="1320" w:top="530" w:right="137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00"/>
        <w:spacing w:after="0" w:line="239" w:lineRule="auto"/>
        <w:rPr>
          <w:sz w:val="20"/>
          <w:szCs w:val="20"/>
          <w:color w:val="auto"/>
        </w:rPr>
      </w:pPr>
      <w:r>
        <w:rPr>
          <w:rFonts w:ascii="Arial" w:cs="Arial" w:eastAsia="Arial" w:hAnsi="Arial"/>
          <w:sz w:val="18"/>
          <w:szCs w:val="18"/>
          <w:b w:val="1"/>
          <w:bCs w:val="1"/>
          <w:color w:val="071D49"/>
        </w:rPr>
        <w:t xml:space="preserve">We discover and deliver innovative medicines </w:t>
      </w:r>
      <w:r>
        <w:rPr>
          <w:rFonts w:ascii="Arial" w:cs="Arial" w:eastAsia="Arial" w:hAnsi="Arial"/>
          <w:sz w:val="18"/>
          <w:szCs w:val="18"/>
          <w:color w:val="000000"/>
        </w:rPr>
        <w:t>that solve</w:t>
      </w:r>
      <w:r>
        <w:rPr>
          <w:rFonts w:ascii="Arial" w:cs="Arial" w:eastAsia="Arial" w:hAnsi="Arial"/>
          <w:sz w:val="18"/>
          <w:szCs w:val="18"/>
          <w:b w:val="1"/>
          <w:bCs w:val="1"/>
          <w:color w:val="071D49"/>
        </w:rPr>
        <w:t xml:space="preserve"> </w:t>
      </w:r>
      <w:r>
        <w:rPr>
          <w:rFonts w:ascii="Arial" w:cs="Arial" w:eastAsia="Arial" w:hAnsi="Arial"/>
          <w:sz w:val="18"/>
          <w:szCs w:val="18"/>
          <w:color w:val="000000"/>
        </w:rPr>
        <w:t>serious health issues and enhance people’s lives by pushing the boundaries of innovation, putting people and patients first, creating high-quality therapeutic solutions and ensuring their safety, efficacy, and accessibility.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071D49"/>
        </w:rPr>
        <w:t xml:space="preserve">We unlock the full potential of diverse and talented teams— and partners—to deliver today and into the future. </w:t>
      </w:r>
      <w:r>
        <w:rPr>
          <w:rFonts w:ascii="Arial" w:cs="Arial" w:eastAsia="Arial" w:hAnsi="Arial"/>
          <w:sz w:val="18"/>
          <w:szCs w:val="18"/>
          <w:color w:val="000000"/>
        </w:rPr>
        <w:t>We do this</w:t>
      </w:r>
      <w:r>
        <w:rPr>
          <w:rFonts w:ascii="Arial" w:cs="Arial" w:eastAsia="Arial" w:hAnsi="Arial"/>
          <w:sz w:val="18"/>
          <w:szCs w:val="18"/>
          <w:b w:val="1"/>
          <w:bCs w:val="1"/>
          <w:color w:val="071D49"/>
        </w:rPr>
        <w:t xml:space="preserve"> </w:t>
      </w:r>
      <w:r>
        <w:rPr>
          <w:rFonts w:ascii="Arial" w:cs="Arial" w:eastAsia="Arial" w:hAnsi="Arial"/>
          <w:sz w:val="18"/>
          <w:szCs w:val="18"/>
          <w:color w:val="000000"/>
        </w:rPr>
        <w:t>by attracting and retaining the best talent, embracing diversity of thought and through collaboration. We know that when we unlock the full potential of our people and our partners, we accelerate innovation, enhance people’s lives, and meet our business objectives.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071D49"/>
        </w:rPr>
        <w:t xml:space="preserve">We innovate with integrity and intention to advance long-term patient health and business resiliency. </w:t>
      </w:r>
      <w:r>
        <w:rPr>
          <w:rFonts w:ascii="Arial" w:cs="Arial" w:eastAsia="Arial" w:hAnsi="Arial"/>
          <w:sz w:val="18"/>
          <w:szCs w:val="18"/>
          <w:color w:val="000000"/>
        </w:rPr>
        <w:t>We ensure that we are</w:t>
      </w:r>
      <w:r>
        <w:rPr>
          <w:rFonts w:ascii="Arial" w:cs="Arial" w:eastAsia="Arial" w:hAnsi="Arial"/>
          <w:sz w:val="18"/>
          <w:szCs w:val="18"/>
          <w:b w:val="1"/>
          <w:bCs w:val="1"/>
          <w:color w:val="071D49"/>
        </w:rPr>
        <w:t xml:space="preserve"> </w:t>
      </w:r>
      <w:r>
        <w:rPr>
          <w:rFonts w:ascii="Arial" w:cs="Arial" w:eastAsia="Arial" w:hAnsi="Arial"/>
          <w:sz w:val="18"/>
          <w:szCs w:val="18"/>
          <w:color w:val="000000"/>
        </w:rPr>
        <w:t>prepared for the future by operating a sustainable, agile business model and governance structure that anticipates and evolves in a dynamic industry and society. We are unwavering in assuring supply of innovative medicines to patients and life enhancing products to customers.</w:t>
      </w:r>
    </w:p>
    <w:p>
      <w:pPr>
        <w:spacing w:after="0" w:line="200" w:lineRule="exact"/>
        <w:rPr>
          <w:sz w:val="20"/>
          <w:szCs w:val="20"/>
          <w:color w:val="auto"/>
        </w:rPr>
      </w:pPr>
    </w:p>
    <w:p>
      <w:pPr>
        <w:sectPr>
          <w:pgSz w:w="11900" w:h="16838" w:orient="portrait"/>
          <w:cols w:equalWidth="0" w:num="3">
            <w:col w:w="2780" w:space="440"/>
            <w:col w:w="2700" w:space="440"/>
            <w:col w:w="2840"/>
          </w:cols>
          <w:pgMar w:left="1320" w:top="530" w:right="137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color w:val="071D49"/>
        </w:rPr>
        <w:t>Our Material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8718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ectPr>
          <w:pgSz w:w="11900" w:h="16838" w:orient="portrait"/>
          <w:cols w:equalWidth="0" w:num="1">
            <w:col w:w="9200"/>
          </w:cols>
          <w:pgMar w:left="1320" w:top="530" w:right="1379" w:bottom="1440" w:gutter="0" w:footer="0" w:header="0"/>
          <w:type w:val="continuous"/>
        </w:sect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71D49"/>
        </w:rPr>
        <w:t>Product Innovation</w:t>
      </w:r>
    </w:p>
    <w:p>
      <w:pPr>
        <w:spacing w:after="0" w:line="13" w:lineRule="exact"/>
        <w:rPr>
          <w:sz w:val="20"/>
          <w:szCs w:val="20"/>
          <w:color w:val="auto"/>
        </w:rPr>
      </w:pPr>
    </w:p>
    <w:p>
      <w:pPr>
        <w:ind w:left="100" w:right="140"/>
        <w:spacing w:after="0" w:line="237" w:lineRule="auto"/>
        <w:rPr>
          <w:sz w:val="20"/>
          <w:szCs w:val="20"/>
          <w:color w:val="auto"/>
        </w:rPr>
      </w:pPr>
      <w:r>
        <w:rPr>
          <w:rFonts w:ascii="Arial" w:cs="Arial" w:eastAsia="Arial" w:hAnsi="Arial"/>
          <w:sz w:val="18"/>
          <w:szCs w:val="18"/>
          <w:color w:val="auto"/>
        </w:rPr>
        <w:t>We strive to make a remarkable impact on patients and drive sustainable growth by consistently discovering and delivering innovative medicines that address serious health issues and advance people’s lives.</w:t>
      </w:r>
    </w:p>
    <w:p>
      <w:pPr>
        <w:spacing w:after="0" w:line="162" w:lineRule="exact"/>
        <w:rPr>
          <w:sz w:val="20"/>
          <w:szCs w:val="20"/>
          <w:color w:val="auto"/>
        </w:rPr>
      </w:pPr>
    </w:p>
    <w:p>
      <w:pPr>
        <w:ind w:left="100" w:right="380"/>
        <w:spacing w:after="0" w:line="239" w:lineRule="auto"/>
        <w:rPr>
          <w:sz w:val="20"/>
          <w:szCs w:val="20"/>
          <w:color w:val="auto"/>
        </w:rPr>
      </w:pPr>
      <w:r>
        <w:rPr>
          <w:rFonts w:ascii="Arial" w:cs="Arial" w:eastAsia="Arial" w:hAnsi="Arial"/>
          <w:sz w:val="20"/>
          <w:szCs w:val="20"/>
          <w:b w:val="1"/>
          <w:bCs w:val="1"/>
          <w:color w:val="071D49"/>
        </w:rPr>
        <w:t>Patient Access and Patient Affordability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believe everyone who needs our medicines should be able to get them.</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Human Capital Management</w:t>
      </w:r>
    </w:p>
    <w:p>
      <w:pPr>
        <w:spacing w:after="0" w:line="1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believe purposeful work drives meaningful change. We nurture diverse talents to solve the most complex health challenges and create remarkable impacts on people’s lives.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Business Ethics</w:t>
      </w:r>
    </w:p>
    <w:p>
      <w:pPr>
        <w:spacing w:after="0" w:line="1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act with integrity in everything we do.</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1000"/>
        <w:spacing w:after="0" w:line="239" w:lineRule="auto"/>
        <w:rPr>
          <w:sz w:val="20"/>
          <w:szCs w:val="20"/>
          <w:color w:val="auto"/>
        </w:rPr>
      </w:pPr>
      <w:r>
        <w:rPr>
          <w:rFonts w:ascii="Arial" w:cs="Arial" w:eastAsia="Arial" w:hAnsi="Arial"/>
          <w:sz w:val="20"/>
          <w:szCs w:val="20"/>
          <w:b w:val="1"/>
          <w:bCs w:val="1"/>
          <w:color w:val="071D49"/>
        </w:rPr>
        <w:t>Patient Health and Engagement</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We continuously strive to improve health outcomes for patients around the world.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Product Quality and Safety</w:t>
      </w:r>
    </w:p>
    <w:p>
      <w:pPr>
        <w:spacing w:after="0" w:line="1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committed to delivering safe and effective, quality products and medicines through robust quality systems.</w:t>
      </w:r>
    </w:p>
    <w:p>
      <w:pPr>
        <w:spacing w:after="0" w:line="809" w:lineRule="exact"/>
        <w:rPr>
          <w:sz w:val="20"/>
          <w:szCs w:val="20"/>
          <w:color w:val="auto"/>
        </w:rPr>
      </w:pPr>
    </w:p>
    <w:p>
      <w:pPr>
        <w:sectPr>
          <w:pgSz w:w="11900" w:h="16838" w:orient="portrait"/>
          <w:cols w:equalWidth="0" w:num="3">
            <w:col w:w="3000" w:space="220"/>
            <w:col w:w="3020" w:space="220"/>
            <w:col w:w="2740"/>
          </w:cols>
          <w:pgMar w:left="1320" w:top="530" w:right="1379" w:bottom="1440" w:gutter="0" w:footer="0" w:header="0"/>
          <w:type w:val="continuous"/>
        </w:sectPr>
      </w:pPr>
    </w:p>
    <w:p>
      <w:pPr>
        <w:spacing w:after="0" w:line="393" w:lineRule="exact"/>
        <w:rPr>
          <w:sz w:val="20"/>
          <w:szCs w:val="20"/>
          <w:color w:val="auto"/>
        </w:rPr>
      </w:pPr>
    </w:p>
    <w:p>
      <w:pPr>
        <w:spacing w:after="0"/>
        <w:tabs>
          <w:tab w:leader="none" w:pos="283" w:val="left"/>
          <w:tab w:leader="none" w:pos="2220"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874395" cy="1625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00"/>
          </w:cols>
          <w:pgMar w:left="1320" w:top="530" w:right="13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808080"/>
        </w:rPr>
        <w:t>PROXY SUMMARY</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also prioritize environmental sustainability within and beyond AbbVie to support our patients, people and planet. Our environmental sustainability strategy is focused on reducing our environmental footprint, growing sustainably through inspiring innovation, and engaging our workforce to steward sustainability.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Our ESG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pacing w:after="0" w:line="23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took action in 2021 to enhance our ESG oversight and governance. To further strategic, enterprise-aligned delivery on AbbVie’s ESG Framework, we established an ESG Council, chaired by our Vice Chairman, External Affairs and Chief Legal Officer and composed of senior-level leaders from across the company. The ESG Council’s purpose is to champion business sustainability and mitigate business risks by monitoring, reviewing, and recommending actions to the ESG Council Chair, other members of the Executive Leadership Team, and AbbVie’s CEO to advance AbbVie’s ESG framework and strategy. The ESG Council Chair may also present certain recommendations of the ESG Council from time to time to the board of directors as appropriate.</w:t>
      </w:r>
    </w:p>
    <w:p>
      <w:pPr>
        <w:spacing w:after="0" w:line="189"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ESG Council meets quarterly, or more frequently if needed, and maintains sub-committees that are aligned to AbbVie’s material drivers. With this governance in place, AbbVie is well-positioned to recognize ESG opportunities and advance its ESG objectives.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ESG Action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refined our previous Responsible Action Report to clearly align to AbbVie’s ESG Framework (our foundational ESG pillars and material drivers). Published in June 2021, the newly titled 2020 ESG Action Report includes detailed commentary about our approach, actions, and commitments across material drivers; 45 year-over-year-KPIs showing our progress; and ESG-related recognitions of our efforts. The ESG Action Report outlines our alignment with United Nations Sustainable Development Goals (SDGs) and the Sustainability Accounting Standards Board (SASB) Index. The full ESG Action Report can be found at https://www.abbvie.com/societal-impact.html.</w:t>
      </w:r>
    </w:p>
    <w:p>
      <w:pPr>
        <w:spacing w:after="0" w:line="18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In 2022, AbbVie will release its 2021 ESG Action Report containing updated disclosures, including those aligning with the Task Force on Climate-Related Financial Disclosures (TCFD) framework, KPIs, and other information related to our ESG efforts in 2021. Below are select 2021 ESG highlights across several of our material areas.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240" w:type="dxa"/>
            <w:vAlign w:val="bottom"/>
          </w:tcPr>
          <w:p>
            <w:pPr>
              <w:ind w:left="52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535"/>
        </w:trPr>
        <w:tc>
          <w:tcPr>
            <w:tcW w:w="8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4805045</wp:posOffset>
            </wp:positionH>
            <wp:positionV relativeFrom="paragraph">
              <wp:posOffset>-548005</wp:posOffset>
            </wp:positionV>
            <wp:extent cx="87439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391795</wp:posOffset>
            </wp:positionV>
            <wp:extent cx="18345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71D49"/>
        </w:rPr>
        <w:t>Product Innovation</w:t>
      </w:r>
    </w:p>
    <w:p>
      <w:pPr>
        <w:spacing w:after="0" w:line="126" w:lineRule="exact"/>
        <w:rPr>
          <w:sz w:val="20"/>
          <w:szCs w:val="20"/>
          <w:color w:val="auto"/>
        </w:rPr>
      </w:pPr>
    </w:p>
    <w:p>
      <w:pPr>
        <w:ind w:left="420" w:right="380" w:hanging="323"/>
        <w:spacing w:after="0" w:line="234" w:lineRule="auto"/>
        <w:tabs>
          <w:tab w:leader="none" w:pos="4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$6.5 billion in adjusted research &amp; development spend in 2021*</w:t>
      </w:r>
    </w:p>
    <w:p>
      <w:pPr>
        <w:spacing w:after="0" w:line="2" w:lineRule="exact"/>
        <w:rPr>
          <w:rFonts w:ascii="MS PGothic" w:cs="MS PGothic" w:eastAsia="MS PGothic" w:hAnsi="MS PGothic"/>
          <w:sz w:val="18"/>
          <w:szCs w:val="18"/>
          <w:color w:val="auto"/>
        </w:rPr>
      </w:pPr>
    </w:p>
    <w:p>
      <w:pPr>
        <w:ind w:left="420" w:right="280" w:hanging="323"/>
        <w:spacing w:after="0" w:line="234" w:lineRule="auto"/>
        <w:tabs>
          <w:tab w:leader="none" w:pos="4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21 major product or indication approvals since inception</w:t>
      </w:r>
    </w:p>
    <w:p>
      <w:pPr>
        <w:spacing w:after="0" w:line="2" w:lineRule="exact"/>
        <w:rPr>
          <w:rFonts w:ascii="MS PGothic" w:cs="MS PGothic" w:eastAsia="MS PGothic" w:hAnsi="MS PGothic"/>
          <w:sz w:val="18"/>
          <w:szCs w:val="18"/>
          <w:color w:val="auto"/>
        </w:rPr>
      </w:pPr>
    </w:p>
    <w:p>
      <w:pPr>
        <w:ind w:left="420" w:right="20" w:hanging="323"/>
        <w:spacing w:after="0" w:line="238" w:lineRule="auto"/>
        <w:tabs>
          <w:tab w:leader="none" w:pos="4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Over 14,000 research hours donated in 2021 to neglected tropical diseases, malaria and t</w:t>
      </w:r>
      <w:r>
        <w:rPr>
          <w:rFonts w:ascii="Arial" w:cs="Arial" w:eastAsia="Arial" w:hAnsi="Arial"/>
          <w:sz w:val="18"/>
          <w:szCs w:val="18"/>
          <w:color w:val="202124"/>
        </w:rPr>
        <w:t>uberculosis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18345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71D49"/>
        </w:rPr>
        <w:t>Environmental Sustainability</w:t>
      </w:r>
    </w:p>
    <w:p>
      <w:pPr>
        <w:spacing w:after="0" w:line="126" w:lineRule="exact"/>
        <w:rPr>
          <w:sz w:val="20"/>
          <w:szCs w:val="20"/>
          <w:color w:val="auto"/>
        </w:rPr>
      </w:pPr>
    </w:p>
    <w:p>
      <w:pPr>
        <w:ind w:left="420" w:hanging="323"/>
        <w:spacing w:after="0" w:line="235" w:lineRule="auto"/>
        <w:tabs>
          <w:tab w:leader="none" w:pos="4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Committed to joining the Science-based Targets Initiative (SBTi) by setting ambitious science-based emissions reduction targets to support limiting global temperature rise to no more than 1.5 degrees Celsius above pre-industrial levels. We intend to formally announce our SBTi-approved science-based targets in 2022, using 2021 as our baseline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487680</wp:posOffset>
            </wp:positionV>
            <wp:extent cx="18345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071D49"/>
        </w:rPr>
        <w:t>Patient Access and Patient Affordability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-316230</wp:posOffset>
            </wp:positionV>
            <wp:extent cx="18345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48" w:lineRule="exact"/>
        <w:rPr>
          <w:sz w:val="20"/>
          <w:szCs w:val="20"/>
          <w:color w:val="auto"/>
        </w:rPr>
      </w:pPr>
    </w:p>
    <w:p>
      <w:pPr>
        <w:ind w:left="340" w:right="40" w:hanging="331"/>
        <w:spacing w:after="0" w:line="253" w:lineRule="auto"/>
        <w:tabs>
          <w:tab w:leader="none" w:pos="34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Expanded access to patients who have difficulty paying for their medicine by providing medicine to more than 170,000 U.S. patients in 2021 at no cost through our patient assistance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447675</wp:posOffset>
            </wp:positionV>
            <wp:extent cx="18345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Patient Health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Engagement</w:t>
      </w:r>
    </w:p>
    <w:p>
      <w:pPr>
        <w:spacing w:after="0" w:line="104" w:lineRule="exact"/>
        <w:rPr>
          <w:sz w:val="20"/>
          <w:szCs w:val="20"/>
          <w:color w:val="auto"/>
        </w:rPr>
      </w:pPr>
    </w:p>
    <w:p>
      <w:pPr>
        <w:ind w:left="340" w:right="140" w:hanging="331"/>
        <w:spacing w:after="0" w:line="248" w:lineRule="auto"/>
        <w:tabs>
          <w:tab w:leader="none" w:pos="34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To ensure that our clinical trials reflect the populations we serve, established Director of Clinical Trial Diversity and team as a key lever to amplify this focus</w:t>
      </w:r>
    </w:p>
    <w:p>
      <w:pPr>
        <w:spacing w:after="0" w:line="3" w:lineRule="exact"/>
        <w:rPr>
          <w:rFonts w:ascii="MS PGothic" w:cs="MS PGothic" w:eastAsia="MS PGothic" w:hAnsi="MS PGothic"/>
          <w:sz w:val="17"/>
          <w:szCs w:val="17"/>
          <w:color w:val="auto"/>
        </w:rPr>
      </w:pPr>
    </w:p>
    <w:p>
      <w:pPr>
        <w:ind w:left="340" w:hanging="331"/>
        <w:spacing w:after="0" w:line="255" w:lineRule="auto"/>
        <w:tabs>
          <w:tab w:leader="none" w:pos="34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Over $38 million in grants and over 700,000 patients and healthcare providers reached through independent education grants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729615</wp:posOffset>
            </wp:positionV>
            <wp:extent cx="18345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-150495</wp:posOffset>
            </wp:positionV>
            <wp:extent cx="189420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106" w:lineRule="exact"/>
        <w:rPr>
          <w:sz w:val="20"/>
          <w:szCs w:val="20"/>
          <w:color w:val="auto"/>
        </w:rPr>
      </w:pPr>
    </w:p>
    <w:p>
      <w:pPr>
        <w:ind w:left="320" w:right="119" w:hanging="319"/>
        <w:spacing w:after="0" w:line="234" w:lineRule="auto"/>
        <w:tabs>
          <w:tab w:leader="none" w:pos="3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Continued to advance our Equity, Equality, Diversity &amp; Inclusion (EED&amp;I) 5-year strategy under the leadership of our CEO, Chief Equity Officer and Executive Leadership Team</w:t>
      </w:r>
    </w:p>
    <w:p>
      <w:pPr>
        <w:spacing w:after="0" w:line="4" w:lineRule="exact"/>
        <w:rPr>
          <w:rFonts w:ascii="MS PGothic" w:cs="MS PGothic" w:eastAsia="MS PGothic" w:hAnsi="MS PGothic"/>
          <w:sz w:val="18"/>
          <w:szCs w:val="18"/>
          <w:color w:val="auto"/>
        </w:rPr>
      </w:pPr>
    </w:p>
    <w:p>
      <w:pPr>
        <w:ind w:left="320" w:right="279" w:hanging="319"/>
        <w:spacing w:after="0" w:line="246" w:lineRule="auto"/>
        <w:tabs>
          <w:tab w:leader="none" w:pos="3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Completed 2021 Employee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322580</wp:posOffset>
            </wp:positionV>
            <wp:extent cx="189420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Business Ethics</w:t>
      </w:r>
    </w:p>
    <w:p>
      <w:pPr>
        <w:spacing w:after="0" w:line="126" w:lineRule="exact"/>
        <w:rPr>
          <w:sz w:val="20"/>
          <w:szCs w:val="20"/>
          <w:color w:val="auto"/>
        </w:rPr>
      </w:pPr>
    </w:p>
    <w:p>
      <w:pPr>
        <w:ind w:left="320" w:right="19" w:hanging="319"/>
        <w:spacing w:after="0" w:line="234" w:lineRule="auto"/>
        <w:tabs>
          <w:tab w:leader="none" w:pos="3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All employees received AbbVie’s annual training on our Code of Business Conduct and conflicts of interest training</w:t>
      </w:r>
    </w:p>
    <w:p>
      <w:pPr>
        <w:spacing w:after="0" w:line="3" w:lineRule="exact"/>
        <w:rPr>
          <w:rFonts w:ascii="MS PGothic" w:cs="MS PGothic" w:eastAsia="MS PGothic" w:hAnsi="MS PGothic"/>
          <w:sz w:val="18"/>
          <w:szCs w:val="18"/>
          <w:color w:val="auto"/>
        </w:rPr>
      </w:pPr>
    </w:p>
    <w:p>
      <w:pPr>
        <w:jc w:val="both"/>
        <w:ind w:left="320" w:right="659" w:hanging="319"/>
        <w:spacing w:after="0" w:line="234" w:lineRule="auto"/>
        <w:tabs>
          <w:tab w:leader="none" w:pos="3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Our Code of Business Conduct is available in 31 languages</w:t>
      </w:r>
    </w:p>
    <w:p>
      <w:pPr>
        <w:spacing w:after="0" w:line="2" w:lineRule="exact"/>
        <w:rPr>
          <w:rFonts w:ascii="MS PGothic" w:cs="MS PGothic" w:eastAsia="MS PGothic" w:hAnsi="MS PGothic"/>
          <w:sz w:val="18"/>
          <w:szCs w:val="18"/>
          <w:color w:val="auto"/>
        </w:rPr>
      </w:pPr>
    </w:p>
    <w:p>
      <w:pPr>
        <w:ind w:left="320" w:right="99" w:hanging="319"/>
        <w:spacing w:after="0" w:line="236" w:lineRule="auto"/>
        <w:tabs>
          <w:tab w:leader="none" w:pos="32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Employees in relevant functions also received mandatory training on topics such as anti-corruption, recognizing and reporting safety information, product promotion, and interactions with healthcare providers and patient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97790</wp:posOffset>
            </wp:positionV>
            <wp:extent cx="189420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3">
            <w:col w:w="2760" w:space="460"/>
            <w:col w:w="2680" w:space="460"/>
            <w:col w:w="2779"/>
          </w:cols>
          <w:pgMar w:left="1320" w:top="530" w:right="1440" w:bottom="1440" w:gutter="0" w:footer="0" w:header="0"/>
        </w:sectPr>
      </w:pPr>
    </w:p>
    <w:p>
      <w:pPr>
        <w:spacing w:after="0"/>
        <w:rPr>
          <w:sz w:val="20"/>
          <w:szCs w:val="20"/>
          <w:color w:val="auto"/>
        </w:rPr>
      </w:pPr>
      <w:r>
        <w:rPr>
          <w:rFonts w:ascii="Arial" w:cs="Arial" w:eastAsia="Arial" w:hAnsi="Arial"/>
          <w:sz w:val="14"/>
          <w:szCs w:val="14"/>
          <w:color w:val="auto"/>
        </w:rPr>
        <w:t>*Adjusted research and development spend is a non-GAAP measure, which is reconciled in Appendix B.</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874395"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39"/>
          </w:cols>
          <w:pgMar w:left="1320" w:top="530" w:right="1440"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808080"/>
        </w:rPr>
        <w:t>PROXY SUMMARY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External Recognition as a Top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8718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pacing w:after="0" w:line="2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work hasn’t gone unnoticed. We’ve been honored to receive some of the most prestigious ratings and recognitions in our industry. And we’ve received more than 40 Top Employer Great Place to Work and Top Employer rankings globally. For more information, visit https://news.abbvie.com/media-resources/fact-sheets/abbvie-ratings-and-recognition-fact-sheet.htm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8718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7184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71D49"/>
        </w:rPr>
        <w:t>Workplace &amp; Diversity</w:t>
      </w:r>
    </w:p>
    <w:p>
      <w:pPr>
        <w:spacing w:after="0" w:line="382" w:lineRule="exact"/>
        <w:rPr>
          <w:sz w:val="20"/>
          <w:szCs w:val="20"/>
          <w:color w:val="auto"/>
        </w:rPr>
      </w:pPr>
    </w:p>
    <w:p>
      <w:pPr>
        <w:ind w:left="420" w:right="220" w:hanging="323"/>
        <w:spacing w:after="0" w:line="234" w:lineRule="auto"/>
        <w:tabs>
          <w:tab w:leader="none" w:pos="4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 xml:space="preserve">DiversityInc “Top 50 Companies for Diversity” – </w:t>
      </w:r>
      <w:r>
        <w:rPr>
          <w:rFonts w:ascii="Arial" w:cs="Arial" w:eastAsia="Arial" w:hAnsi="Arial"/>
          <w:sz w:val="18"/>
          <w:szCs w:val="18"/>
          <w:i w:val="1"/>
          <w:iCs w:val="1"/>
          <w:color w:val="auto"/>
        </w:rPr>
        <w:t>Top 15</w:t>
      </w:r>
    </w:p>
    <w:p>
      <w:pPr>
        <w:spacing w:after="0" w:line="2" w:lineRule="exact"/>
        <w:rPr>
          <w:rFonts w:ascii="MS PGothic" w:cs="MS PGothic" w:eastAsia="MS PGothic" w:hAnsi="MS PGothic"/>
          <w:sz w:val="18"/>
          <w:szCs w:val="18"/>
          <w:color w:val="auto"/>
        </w:rPr>
      </w:pPr>
    </w:p>
    <w:p>
      <w:pPr>
        <w:ind w:left="420" w:hanging="323"/>
        <w:spacing w:after="0" w:line="248" w:lineRule="auto"/>
        <w:tabs>
          <w:tab w:leader="none" w:pos="420" w:val="left"/>
        </w:tabs>
        <w:numPr>
          <w:ilvl w:val="0"/>
          <w:numId w:val="18"/>
        </w:numPr>
        <w:rPr>
          <w:rFonts w:ascii="MS PGothic" w:cs="MS PGothic" w:eastAsia="MS PGothic" w:hAnsi="MS PGothic"/>
          <w:sz w:val="17"/>
          <w:szCs w:val="17"/>
          <w:color w:val="auto"/>
        </w:rPr>
      </w:pPr>
      <w:r>
        <w:rPr>
          <w:rFonts w:ascii="Arial" w:cs="Arial" w:eastAsia="Arial" w:hAnsi="Arial"/>
          <w:sz w:val="17"/>
          <w:szCs w:val="17"/>
          <w:color w:val="auto"/>
        </w:rPr>
        <w:t xml:space="preserve">FORTUNE “100 Best Companies to Work For” – </w:t>
      </w:r>
      <w:r>
        <w:rPr>
          <w:rFonts w:ascii="Arial" w:cs="Arial" w:eastAsia="Arial" w:hAnsi="Arial"/>
          <w:sz w:val="17"/>
          <w:szCs w:val="17"/>
          <w:i w:val="1"/>
          <w:iCs w:val="1"/>
          <w:color w:val="auto"/>
        </w:rPr>
        <w:t>Included for</w:t>
      </w:r>
      <w:r>
        <w:rPr>
          <w:rFonts w:ascii="Arial" w:cs="Arial" w:eastAsia="Arial" w:hAnsi="Arial"/>
          <w:sz w:val="17"/>
          <w:szCs w:val="17"/>
          <w:color w:val="auto"/>
        </w:rPr>
        <w:t xml:space="preserve"> </w:t>
      </w:r>
      <w:r>
        <w:rPr>
          <w:rFonts w:ascii="Arial" w:cs="Arial" w:eastAsia="Arial" w:hAnsi="Arial"/>
          <w:sz w:val="17"/>
          <w:szCs w:val="17"/>
          <w:i w:val="1"/>
          <w:iCs w:val="1"/>
          <w:color w:val="auto"/>
        </w:rPr>
        <w:t>four consecutive years</w:t>
      </w:r>
    </w:p>
    <w:p>
      <w:pPr>
        <w:spacing w:after="0" w:line="2" w:lineRule="exact"/>
        <w:rPr>
          <w:rFonts w:ascii="MS PGothic" w:cs="MS PGothic" w:eastAsia="MS PGothic" w:hAnsi="MS PGothic"/>
          <w:sz w:val="17"/>
          <w:szCs w:val="17"/>
          <w:color w:val="auto"/>
        </w:rPr>
      </w:pPr>
    </w:p>
    <w:p>
      <w:pPr>
        <w:ind w:left="420" w:right="180" w:hanging="323"/>
        <w:spacing w:after="0" w:line="234" w:lineRule="auto"/>
        <w:tabs>
          <w:tab w:leader="none" w:pos="4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 xml:space="preserve">Great Place to Work “World’s Best Workplaces” – </w:t>
      </w:r>
      <w:r>
        <w:rPr>
          <w:rFonts w:ascii="Arial" w:cs="Arial" w:eastAsia="Arial" w:hAnsi="Arial"/>
          <w:sz w:val="18"/>
          <w:szCs w:val="18"/>
          <w:i w:val="1"/>
          <w:iCs w:val="1"/>
          <w:color w:val="auto"/>
        </w:rPr>
        <w:t>Included for five consecutive years</w:t>
      </w:r>
    </w:p>
    <w:p>
      <w:pPr>
        <w:spacing w:after="0" w:line="3" w:lineRule="exact"/>
        <w:rPr>
          <w:rFonts w:ascii="MS PGothic" w:cs="MS PGothic" w:eastAsia="MS PGothic" w:hAnsi="MS PGothic"/>
          <w:sz w:val="18"/>
          <w:szCs w:val="18"/>
          <w:color w:val="auto"/>
        </w:rPr>
      </w:pPr>
    </w:p>
    <w:p>
      <w:pPr>
        <w:ind w:left="420" w:right="120" w:hanging="323"/>
        <w:spacing w:after="0" w:line="234" w:lineRule="auto"/>
        <w:tabs>
          <w:tab w:leader="none" w:pos="4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 xml:space="preserve">Human Rights Campaign Corporate Equality Index – </w:t>
      </w:r>
      <w:r>
        <w:rPr>
          <w:rFonts w:ascii="Arial" w:cs="Arial" w:eastAsia="Arial" w:hAnsi="Arial"/>
          <w:sz w:val="18"/>
          <w:szCs w:val="18"/>
          <w:i w:val="1"/>
          <w:iCs w:val="1"/>
          <w:color w:val="auto"/>
        </w:rPr>
        <w:t>Scored 100% for six consecutive years</w:t>
      </w:r>
    </w:p>
    <w:p>
      <w:pPr>
        <w:spacing w:after="0" w:line="3" w:lineRule="exact"/>
        <w:rPr>
          <w:rFonts w:ascii="MS PGothic" w:cs="MS PGothic" w:eastAsia="MS PGothic" w:hAnsi="MS PGothic"/>
          <w:sz w:val="18"/>
          <w:szCs w:val="18"/>
          <w:color w:val="auto"/>
        </w:rPr>
      </w:pPr>
    </w:p>
    <w:p>
      <w:pPr>
        <w:ind w:left="420" w:right="100" w:hanging="323"/>
        <w:spacing w:after="0" w:line="238" w:lineRule="auto"/>
        <w:tabs>
          <w:tab w:leader="none" w:pos="42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 xml:space="preserve">Seramount “100 Best Companies for Working Mothers” – </w:t>
      </w:r>
      <w:r>
        <w:rPr>
          <w:rFonts w:ascii="Arial" w:cs="Arial" w:eastAsia="Arial" w:hAnsi="Arial"/>
          <w:sz w:val="18"/>
          <w:szCs w:val="18"/>
          <w:i w:val="1"/>
          <w:iCs w:val="1"/>
          <w:color w:val="auto"/>
        </w:rPr>
        <w:t>Top 15 for four consecutive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14916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9161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-2861945</wp:posOffset>
            </wp:positionV>
            <wp:extent cx="1491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left="-62"/>
        <w:spacing w:after="0"/>
        <w:rPr>
          <w:sz w:val="20"/>
          <w:szCs w:val="20"/>
          <w:color w:val="auto"/>
        </w:rPr>
      </w:pPr>
      <w:r>
        <w:rPr>
          <w:rFonts w:ascii="Arial" w:cs="Arial" w:eastAsia="Arial" w:hAnsi="Arial"/>
          <w:sz w:val="18"/>
          <w:szCs w:val="18"/>
          <w:b w:val="1"/>
          <w:bCs w:val="1"/>
          <w:color w:val="071D49"/>
        </w:rPr>
        <w:t>Environmental, Social</w:t>
      </w:r>
    </w:p>
    <w:p>
      <w:pPr>
        <w:spacing w:after="0" w:line="18" w:lineRule="exact"/>
        <w:rPr>
          <w:sz w:val="20"/>
          <w:szCs w:val="20"/>
          <w:color w:val="auto"/>
        </w:rPr>
      </w:pPr>
    </w:p>
    <w:p>
      <w:pPr>
        <w:jc w:val="center"/>
        <w:ind w:left="-62"/>
        <w:spacing w:after="0"/>
        <w:rPr>
          <w:sz w:val="20"/>
          <w:szCs w:val="20"/>
          <w:color w:val="auto"/>
        </w:rPr>
      </w:pPr>
      <w:r>
        <w:rPr>
          <w:rFonts w:ascii="Arial" w:cs="Arial" w:eastAsia="Arial" w:hAnsi="Arial"/>
          <w:sz w:val="18"/>
          <w:szCs w:val="18"/>
          <w:b w:val="1"/>
          <w:bCs w:val="1"/>
          <w:color w:val="071D49"/>
        </w:rPr>
        <w:t>and Governance</w:t>
      </w:r>
    </w:p>
    <w:p>
      <w:pPr>
        <w:spacing w:after="0" w:line="158" w:lineRule="exact"/>
        <w:rPr>
          <w:sz w:val="20"/>
          <w:szCs w:val="20"/>
          <w:color w:val="auto"/>
        </w:rPr>
      </w:pPr>
    </w:p>
    <w:p>
      <w:pPr>
        <w:ind w:left="323" w:right="80" w:hanging="323"/>
        <w:spacing w:after="0" w:line="234" w:lineRule="auto"/>
        <w:tabs>
          <w:tab w:leader="none" w:pos="32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Dow Jones Sustainability World Index</w:t>
      </w:r>
    </w:p>
    <w:p>
      <w:pPr>
        <w:spacing w:after="0" w:line="2" w:lineRule="exact"/>
        <w:rPr>
          <w:rFonts w:ascii="MS PGothic" w:cs="MS PGothic" w:eastAsia="MS PGothic" w:hAnsi="MS PGothic"/>
          <w:sz w:val="18"/>
          <w:szCs w:val="18"/>
          <w:color w:val="auto"/>
        </w:rPr>
      </w:pPr>
    </w:p>
    <w:p>
      <w:pPr>
        <w:ind w:left="323" w:right="100" w:hanging="323"/>
        <w:spacing w:after="0" w:line="234" w:lineRule="auto"/>
        <w:tabs>
          <w:tab w:leader="none" w:pos="32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Dow Jones Sustainability North America Index</w:t>
      </w:r>
    </w:p>
    <w:p>
      <w:pPr>
        <w:spacing w:after="0" w:line="2" w:lineRule="exact"/>
        <w:rPr>
          <w:rFonts w:ascii="MS PGothic" w:cs="MS PGothic" w:eastAsia="MS PGothic" w:hAnsi="MS PGothic"/>
          <w:sz w:val="18"/>
          <w:szCs w:val="18"/>
          <w:color w:val="auto"/>
        </w:rPr>
      </w:pPr>
    </w:p>
    <w:p>
      <w:pPr>
        <w:ind w:left="323" w:hanging="323"/>
        <w:spacing w:after="0" w:line="234" w:lineRule="auto"/>
        <w:tabs>
          <w:tab w:leader="none" w:pos="32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Ecovadis Corporate Social Responsibility Assessment Gold Medal</w:t>
      </w:r>
    </w:p>
    <w:p>
      <w:pPr>
        <w:spacing w:after="0" w:line="2" w:lineRule="exact"/>
        <w:rPr>
          <w:rFonts w:ascii="MS PGothic" w:cs="MS PGothic" w:eastAsia="MS PGothic" w:hAnsi="MS PGothic"/>
          <w:sz w:val="18"/>
          <w:szCs w:val="18"/>
          <w:color w:val="auto"/>
        </w:rPr>
      </w:pPr>
    </w:p>
    <w:p>
      <w:pPr>
        <w:ind w:left="323" w:hanging="323"/>
        <w:spacing w:after="0"/>
        <w:tabs>
          <w:tab w:leader="none" w:pos="32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FTSE4GoodIndex</w:t>
      </w:r>
    </w:p>
    <w:p>
      <w:pPr>
        <w:spacing w:after="0" w:line="9" w:lineRule="exact"/>
        <w:rPr>
          <w:rFonts w:ascii="MS PGothic" w:cs="MS PGothic" w:eastAsia="MS PGothic" w:hAnsi="MS PGothic"/>
          <w:sz w:val="18"/>
          <w:szCs w:val="18"/>
          <w:color w:val="auto"/>
        </w:rPr>
      </w:pPr>
    </w:p>
    <w:p>
      <w:pPr>
        <w:ind w:left="323" w:hanging="323"/>
        <w:spacing w:after="0"/>
        <w:tabs>
          <w:tab w:leader="none" w:pos="323"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S&amp;P 500 ESG Index</w:t>
      </w:r>
    </w:p>
    <w:p>
      <w:pPr>
        <w:spacing w:after="0" w:line="9" w:lineRule="exact"/>
        <w:rPr>
          <w:rFonts w:ascii="MS PGothic" w:cs="MS PGothic" w:eastAsia="MS PGothic" w:hAnsi="MS PGothic"/>
          <w:sz w:val="18"/>
          <w:szCs w:val="18"/>
          <w:color w:val="auto"/>
        </w:rPr>
      </w:pPr>
    </w:p>
    <w:p>
      <w:pPr>
        <w:jc w:val="both"/>
        <w:ind w:left="323" w:right="240" w:hanging="323"/>
        <w:spacing w:after="0" w:line="261" w:lineRule="auto"/>
        <w:tabs>
          <w:tab w:leader="none" w:pos="323" w:val="left"/>
        </w:tabs>
        <w:numPr>
          <w:ilvl w:val="0"/>
          <w:numId w:val="19"/>
        </w:numPr>
        <w:rPr>
          <w:rFonts w:ascii="MS PGothic" w:cs="MS PGothic" w:eastAsia="MS PGothic" w:hAnsi="MS PGothic"/>
          <w:sz w:val="17"/>
          <w:szCs w:val="17"/>
          <w:color w:val="auto"/>
        </w:rPr>
      </w:pPr>
      <w:r>
        <w:rPr>
          <w:rFonts w:ascii="Arial" w:cs="Arial" w:eastAsia="Arial" w:hAnsi="Arial"/>
          <w:sz w:val="17"/>
          <w:szCs w:val="17"/>
          <w:color w:val="auto"/>
        </w:rPr>
        <w:t>AbbVie ranked on the 2021 Purpose Power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915670</wp:posOffset>
            </wp:positionV>
            <wp:extent cx="14230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-1989455</wp:posOffset>
            </wp:positionV>
            <wp:extent cx="1423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071D49"/>
              </w:rPr>
              <w:t>Citizenship</w:t>
            </w:r>
          </w:p>
        </w:tc>
        <w:tc>
          <w:tcPr>
            <w:tcW w:w="260" w:type="dxa"/>
            <w:vAlign w:val="bottom"/>
          </w:tcPr>
          <w:p>
            <w:pPr>
              <w:spacing w:after="0"/>
              <w:rPr>
                <w:sz w:val="17"/>
                <w:szCs w:val="17"/>
                <w:color w:val="auto"/>
              </w:rPr>
            </w:pPr>
          </w:p>
        </w:tc>
        <w:tc>
          <w:tcPr>
            <w:tcW w:w="1440" w:type="dxa"/>
            <w:vAlign w:val="bottom"/>
          </w:tcPr>
          <w:p>
            <w:pPr>
              <w:ind w:left="180"/>
              <w:spacing w:after="0"/>
              <w:rPr>
                <w:sz w:val="20"/>
                <w:szCs w:val="20"/>
                <w:color w:val="auto"/>
              </w:rPr>
            </w:pPr>
            <w:r>
              <w:rPr>
                <w:rFonts w:ascii="Arial" w:cs="Arial" w:eastAsia="Arial" w:hAnsi="Arial"/>
                <w:sz w:val="18"/>
                <w:szCs w:val="18"/>
                <w:b w:val="1"/>
                <w:bCs w:val="1"/>
                <w:color w:val="071D49"/>
              </w:rPr>
              <w:t>Business</w:t>
            </w: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b w:val="1"/>
                <w:bCs w:val="1"/>
                <w:color w:val="071D49"/>
              </w:rPr>
              <w:t>Performance</w:t>
            </w:r>
          </w:p>
        </w:tc>
        <w:tc>
          <w:tcPr>
            <w:tcW w:w="0" w:type="dxa"/>
            <w:vAlign w:val="bottom"/>
          </w:tcPr>
          <w:p>
            <w:pPr>
              <w:spacing w:after="0"/>
              <w:rPr>
                <w:sz w:val="1"/>
                <w:szCs w:val="1"/>
                <w:color w:val="auto"/>
              </w:rPr>
            </w:pPr>
          </w:p>
        </w:tc>
      </w:tr>
      <w:tr>
        <w:trPr>
          <w:trHeight w:val="108"/>
        </w:trPr>
        <w:tc>
          <w:tcPr>
            <w:tcW w:w="320" w:type="dxa"/>
            <w:vAlign w:val="bottom"/>
            <w:tcBorders>
              <w:bottom w:val="single" w:sz="8" w:color="071D49"/>
            </w:tcBorders>
          </w:tcPr>
          <w:p>
            <w:pPr>
              <w:spacing w:after="0"/>
              <w:rPr>
                <w:sz w:val="9"/>
                <w:szCs w:val="9"/>
                <w:color w:val="auto"/>
              </w:rPr>
            </w:pPr>
          </w:p>
        </w:tc>
        <w:tc>
          <w:tcPr>
            <w:tcW w:w="1700" w:type="dxa"/>
            <w:vAlign w:val="bottom"/>
            <w:tcBorders>
              <w:bottom w:val="single" w:sz="8" w:color="071D49"/>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Borders>
              <w:bottom w:val="single" w:sz="8" w:color="071D49"/>
            </w:tcBorders>
          </w:tcPr>
          <w:p>
            <w:pPr>
              <w:spacing w:after="0"/>
              <w:rPr>
                <w:sz w:val="9"/>
                <w:szCs w:val="9"/>
                <w:color w:val="auto"/>
              </w:rPr>
            </w:pPr>
          </w:p>
        </w:tc>
        <w:tc>
          <w:tcPr>
            <w:tcW w:w="144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Civic 50</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ind w:left="140"/>
              <w:spacing w:after="0" w:line="189" w:lineRule="exact"/>
              <w:rPr>
                <w:sz w:val="20"/>
                <w:szCs w:val="20"/>
                <w:color w:val="auto"/>
              </w:rPr>
            </w:pPr>
            <w:r>
              <w:rPr>
                <w:rFonts w:ascii="Arial" w:cs="Arial" w:eastAsia="Arial" w:hAnsi="Arial"/>
                <w:sz w:val="18"/>
                <w:szCs w:val="18"/>
                <w:color w:val="auto"/>
              </w:rPr>
              <w:t>FORTUNE</w:t>
            </w:r>
          </w:p>
        </w:tc>
        <w:tc>
          <w:tcPr>
            <w:tcW w:w="0" w:type="dxa"/>
            <w:vAlign w:val="bottom"/>
          </w:tcPr>
          <w:p>
            <w:pPr>
              <w:spacing w:after="0"/>
              <w:rPr>
                <w:sz w:val="1"/>
                <w:szCs w:val="1"/>
                <w:color w:val="auto"/>
              </w:rPr>
            </w:pPr>
          </w:p>
        </w:tc>
      </w:tr>
      <w:tr>
        <w:trPr>
          <w:trHeight w:val="235"/>
        </w:trPr>
        <w:tc>
          <w:tcPr>
            <w:tcW w:w="3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3BL Media “100</w:t>
            </w:r>
          </w:p>
        </w:tc>
        <w:tc>
          <w:tcPr>
            <w:tcW w:w="2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ind w:lef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Best Corporate</w:t>
            </w:r>
          </w:p>
        </w:tc>
        <w:tc>
          <w:tcPr>
            <w:tcW w:w="260" w:type="dxa"/>
            <w:vAlign w:val="bottom"/>
            <w:vMerge w:val="continue"/>
          </w:tcPr>
          <w:p>
            <w:pPr>
              <w:spacing w:after="0"/>
              <w:rPr>
                <w:sz w:val="17"/>
                <w:szCs w:val="17"/>
                <w:color w:val="auto"/>
              </w:rPr>
            </w:pPr>
          </w:p>
        </w:tc>
        <w:tc>
          <w:tcPr>
            <w:tcW w:w="1440" w:type="dxa"/>
            <w:vAlign w:val="bottom"/>
          </w:tcPr>
          <w:p>
            <w:pPr>
              <w:ind w:left="140"/>
              <w:spacing w:after="0" w:line="202" w:lineRule="exact"/>
              <w:rPr>
                <w:sz w:val="20"/>
                <w:szCs w:val="20"/>
                <w:color w:val="auto"/>
              </w:rPr>
            </w:pPr>
            <w:r>
              <w:rPr>
                <w:rFonts w:ascii="Arial" w:cs="Arial" w:eastAsia="Arial" w:hAnsi="Arial"/>
                <w:sz w:val="18"/>
                <w:szCs w:val="18"/>
                <w:color w:val="auto"/>
              </w:rPr>
              <w:t>FORTUNE</w:t>
            </w:r>
          </w:p>
        </w:tc>
        <w:tc>
          <w:tcPr>
            <w:tcW w:w="0" w:type="dxa"/>
            <w:vAlign w:val="bottom"/>
          </w:tcPr>
          <w:p>
            <w:pPr>
              <w:spacing w:after="0"/>
              <w:rPr>
                <w:sz w:val="1"/>
                <w:szCs w:val="1"/>
                <w:color w:val="auto"/>
              </w:rPr>
            </w:pPr>
          </w:p>
        </w:tc>
      </w:tr>
      <w:tr>
        <w:trPr>
          <w:trHeight w:val="203"/>
        </w:trPr>
        <w:tc>
          <w:tcPr>
            <w:tcW w:w="32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Citizens”</w:t>
            </w:r>
          </w:p>
        </w:tc>
        <w:tc>
          <w:tcPr>
            <w:tcW w:w="260" w:type="dxa"/>
            <w:vAlign w:val="bottom"/>
          </w:tcPr>
          <w:p>
            <w:pPr>
              <w:spacing w:after="0"/>
              <w:rPr>
                <w:sz w:val="17"/>
                <w:szCs w:val="17"/>
                <w:color w:val="auto"/>
              </w:rPr>
            </w:pPr>
          </w:p>
        </w:tc>
        <w:tc>
          <w:tcPr>
            <w:tcW w:w="1440" w:type="dxa"/>
            <w:vAlign w:val="bottom"/>
          </w:tcPr>
          <w:p>
            <w:pPr>
              <w:ind w:left="140"/>
              <w:spacing w:after="0" w:line="202" w:lineRule="exact"/>
              <w:rPr>
                <w:sz w:val="20"/>
                <w:szCs w:val="20"/>
                <w:color w:val="auto"/>
              </w:rPr>
            </w:pPr>
            <w:r>
              <w:rPr>
                <w:rFonts w:ascii="Arial" w:cs="Arial" w:eastAsia="Arial" w:hAnsi="Arial"/>
                <w:sz w:val="18"/>
                <w:szCs w:val="18"/>
                <w:color w:val="auto"/>
              </w:rPr>
              <w:t>World’s Most</w:t>
            </w:r>
          </w:p>
        </w:tc>
        <w:tc>
          <w:tcPr>
            <w:tcW w:w="0" w:type="dxa"/>
            <w:vAlign w:val="bottom"/>
          </w:tcPr>
          <w:p>
            <w:pPr>
              <w:spacing w:after="0"/>
              <w:rPr>
                <w:sz w:val="1"/>
                <w:szCs w:val="1"/>
                <w:color w:val="auto"/>
              </w:rPr>
            </w:pPr>
          </w:p>
        </w:tc>
      </w:tr>
      <w:tr>
        <w:trPr>
          <w:trHeight w:val="203"/>
        </w:trPr>
        <w:tc>
          <w:tcPr>
            <w:tcW w:w="320" w:type="dxa"/>
            <w:vAlign w:val="bottom"/>
            <w:vMerge w:val="continue"/>
          </w:tcPr>
          <w:p>
            <w:pPr>
              <w:spacing w:after="0"/>
              <w:rPr>
                <w:sz w:val="17"/>
                <w:szCs w:val="17"/>
                <w:color w:val="auto"/>
              </w:rPr>
            </w:pPr>
          </w:p>
        </w:tc>
        <w:tc>
          <w:tcPr>
            <w:tcW w:w="20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PEOPLE</w:t>
            </w:r>
          </w:p>
        </w:tc>
        <w:tc>
          <w:tcPr>
            <w:tcW w:w="260" w:type="dxa"/>
            <w:vAlign w:val="bottom"/>
          </w:tcPr>
          <w:p>
            <w:pPr>
              <w:spacing w:after="0"/>
              <w:rPr>
                <w:sz w:val="17"/>
                <w:szCs w:val="17"/>
                <w:color w:val="auto"/>
              </w:rPr>
            </w:pPr>
          </w:p>
        </w:tc>
        <w:tc>
          <w:tcPr>
            <w:tcW w:w="1440" w:type="dxa"/>
            <w:vAlign w:val="bottom"/>
          </w:tcPr>
          <w:p>
            <w:pPr>
              <w:ind w:left="140"/>
              <w:spacing w:after="0" w:line="202" w:lineRule="exact"/>
              <w:rPr>
                <w:sz w:val="20"/>
                <w:szCs w:val="20"/>
                <w:color w:val="auto"/>
              </w:rPr>
            </w:pPr>
            <w:r>
              <w:rPr>
                <w:rFonts w:ascii="Arial" w:cs="Arial" w:eastAsia="Arial" w:hAnsi="Arial"/>
                <w:sz w:val="18"/>
                <w:szCs w:val="18"/>
                <w:color w:val="auto"/>
              </w:rPr>
              <w:t>Admired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Companies that</w:t>
            </w:r>
          </w:p>
        </w:tc>
        <w:tc>
          <w:tcPr>
            <w:tcW w:w="26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Arial" w:cs="Arial" w:eastAsia="Arial" w:hAnsi="Arial"/>
                <w:sz w:val="18"/>
                <w:szCs w:val="18"/>
                <w:color w:val="auto"/>
              </w:rPr>
              <w:t>Companies</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020" w:type="dxa"/>
            <w:vAlign w:val="bottom"/>
            <w:gridSpan w:val="2"/>
          </w:tcPr>
          <w:p>
            <w:pPr>
              <w:ind w:left="100"/>
              <w:spacing w:after="0" w:line="199" w:lineRule="exact"/>
              <w:rPr>
                <w:sz w:val="20"/>
                <w:szCs w:val="20"/>
                <w:color w:val="auto"/>
              </w:rPr>
            </w:pPr>
            <w:r>
              <w:rPr>
                <w:rFonts w:ascii="Arial" w:cs="Arial" w:eastAsia="Arial" w:hAnsi="Arial"/>
                <w:sz w:val="18"/>
                <w:szCs w:val="18"/>
                <w:color w:val="auto"/>
              </w:rPr>
              <w:t>Care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420" w:right="2140" w:hanging="332"/>
        <w:spacing w:after="0" w:line="237" w:lineRule="auto"/>
        <w:tabs>
          <w:tab w:leader="none" w:pos="420" w:val="left"/>
        </w:tabs>
        <w:numPr>
          <w:ilvl w:val="0"/>
          <w:numId w:val="20"/>
        </w:numPr>
        <w:rPr>
          <w:rFonts w:ascii="MS PGothic" w:cs="MS PGothic" w:eastAsia="MS PGothic" w:hAnsi="MS PGothic"/>
          <w:sz w:val="18"/>
          <w:szCs w:val="18"/>
          <w:color w:val="auto"/>
        </w:rPr>
      </w:pPr>
      <w:r>
        <w:rPr>
          <w:rFonts w:ascii="Arial" w:cs="Arial" w:eastAsia="Arial" w:hAnsi="Arial"/>
          <w:sz w:val="18"/>
          <w:szCs w:val="18"/>
          <w:color w:val="auto"/>
        </w:rPr>
        <w:t xml:space="preserve">Bioethics International Good Pharma Scorecard for clinical trial transparency – </w:t>
      </w:r>
      <w:r>
        <w:rPr>
          <w:rFonts w:ascii="Arial" w:cs="Arial" w:eastAsia="Arial" w:hAnsi="Arial"/>
          <w:sz w:val="18"/>
          <w:szCs w:val="18"/>
          <w:i w:val="1"/>
          <w:iCs w:val="1"/>
          <w:color w:val="auto"/>
        </w:rPr>
        <w:t>Tied for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1063625</wp:posOffset>
            </wp:positionV>
            <wp:extent cx="25628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807" w:lineRule="exact"/>
        <w:rPr>
          <w:sz w:val="20"/>
          <w:szCs w:val="20"/>
          <w:color w:val="auto"/>
        </w:rPr>
      </w:pPr>
    </w:p>
    <w:p>
      <w:pPr>
        <w:sectPr>
          <w:pgSz w:w="11900" w:h="16838" w:orient="portrait"/>
          <w:cols w:equalWidth="0" w:num="3">
            <w:col w:w="2220" w:space="537"/>
            <w:col w:w="1983" w:space="480"/>
            <w:col w:w="4040"/>
          </w:cols>
          <w:pgMar w:left="1320" w:top="530"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PROXY SUMMARY</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5871845" cy="3340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71845" cy="334010"/>
                    </a:xfrm>
                    <a:prstGeom prst="rect">
                      <a:avLst/>
                    </a:prstGeom>
                    <a:noFill/>
                  </pic:spPr>
                </pic:pic>
              </a:graphicData>
            </a:graphic>
          </wp:anchor>
        </w:drawing>
      </w:r>
    </w:p>
    <w:p>
      <w:pPr>
        <w:spacing w:after="0" w:line="228" w:lineRule="exact"/>
        <w:rPr>
          <w:sz w:val="20"/>
          <w:szCs w:val="20"/>
          <w:color w:val="auto"/>
        </w:rPr>
      </w:pPr>
    </w:p>
    <w:p>
      <w:pPr>
        <w:ind w:left="80" w:right="400"/>
        <w:spacing w:after="0" w:line="246" w:lineRule="auto"/>
        <w:rPr>
          <w:sz w:val="20"/>
          <w:szCs w:val="20"/>
          <w:color w:val="auto"/>
        </w:rPr>
      </w:pPr>
      <w:r>
        <w:rPr>
          <w:rFonts w:ascii="Arial" w:cs="Arial" w:eastAsia="Arial" w:hAnsi="Arial"/>
          <w:sz w:val="18"/>
          <w:szCs w:val="18"/>
          <w:color w:val="auto"/>
        </w:rPr>
        <w:t>The compensation committee has designed and implemented an executive compensation program in which a substantial majority of named executive officer (NEO) compensation at AbbVie is performance-based.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The goals of our compensation program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131445</wp:posOffset>
            </wp:positionV>
            <wp:extent cx="5888990" cy="857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88990" cy="857250"/>
                    </a:xfrm>
                    <a:prstGeom prst="rect">
                      <a:avLst/>
                    </a:prstGeom>
                    <a:noFill/>
                  </pic:spPr>
                </pic:pic>
              </a:graphicData>
            </a:graphic>
          </wp:anchor>
        </w:drawing>
      </w:r>
    </w:p>
    <w:p>
      <w:pPr>
        <w:sectPr>
          <w:pgSz w:w="11900" w:h="16838" w:orient="portrait"/>
          <w:cols w:equalWidth="0" w:num="1">
            <w:col w:w="9180"/>
          </w:cols>
          <w:pgMar w:left="1320" w:top="530" w:right="13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640" w:hanging="565"/>
        <w:spacing w:after="0" w:line="206" w:lineRule="auto"/>
        <w:tabs>
          <w:tab w:leader="none" w:pos="640" w:val="left"/>
        </w:tabs>
        <w:numPr>
          <w:ilvl w:val="0"/>
          <w:numId w:val="21"/>
        </w:numPr>
        <w:rPr>
          <w:rFonts w:ascii="Arial" w:cs="Arial" w:eastAsia="Arial" w:hAnsi="Arial"/>
          <w:sz w:val="31"/>
          <w:szCs w:val="31"/>
          <w:b w:val="1"/>
          <w:bCs w:val="1"/>
          <w:color w:val="071D49"/>
        </w:rPr>
      </w:pPr>
      <w:r>
        <w:rPr>
          <w:rFonts w:ascii="Arial" w:cs="Arial" w:eastAsia="Arial" w:hAnsi="Arial"/>
          <w:sz w:val="14"/>
          <w:szCs w:val="14"/>
          <w:b w:val="1"/>
          <w:bCs w:val="1"/>
          <w:color w:val="auto"/>
        </w:rPr>
        <w:t xml:space="preserve">interests </w:t>
      </w:r>
      <w:r>
        <w:rPr>
          <w:rFonts w:ascii="Arial" w:cs="Arial" w:eastAsia="Arial" w:hAnsi="Arial"/>
          <w:sz w:val="14"/>
          <w:szCs w:val="14"/>
          <w:color w:val="auto"/>
        </w:rPr>
        <w:t>with the drivers</w:t>
      </w:r>
      <w:r>
        <w:rPr>
          <w:rFonts w:ascii="Arial" w:cs="Arial" w:eastAsia="Arial" w:hAnsi="Arial"/>
          <w:sz w:val="14"/>
          <w:szCs w:val="14"/>
          <w:b w:val="1"/>
          <w:bCs w:val="1"/>
          <w:color w:val="auto"/>
        </w:rPr>
        <w:t xml:space="preserve"> </w:t>
      </w:r>
      <w:r>
        <w:rPr>
          <w:rFonts w:ascii="Arial" w:cs="Arial" w:eastAsia="Arial" w:hAnsi="Arial"/>
          <w:sz w:val="14"/>
          <w:szCs w:val="14"/>
          <w:color w:val="auto"/>
        </w:rPr>
        <w:t>of stockholder returns and profitable growth</w:t>
      </w:r>
      <w:r>
        <w:rPr>
          <w:rFonts w:ascii="Arial" w:cs="Arial" w:eastAsia="Arial" w:hAnsi="Arial"/>
          <w:sz w:val="20"/>
          <w:szCs w:val="20"/>
          <w:b w:val="1"/>
          <w:bCs w:val="1"/>
          <w:color w:val="auto"/>
          <w:vertAlign w:val="superscript"/>
        </w:rPr>
        <w:t>Alignexecutive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564" w:right="30" w:hanging="564"/>
        <w:spacing w:after="0" w:line="198" w:lineRule="auto"/>
        <w:tabs>
          <w:tab w:leader="none" w:pos="564" w:val="left"/>
        </w:tabs>
        <w:numPr>
          <w:ilvl w:val="0"/>
          <w:numId w:val="22"/>
        </w:numPr>
        <w:rPr>
          <w:rFonts w:ascii="Arial" w:cs="Arial" w:eastAsia="Arial" w:hAnsi="Arial"/>
          <w:sz w:val="33"/>
          <w:szCs w:val="33"/>
          <w:b w:val="1"/>
          <w:bCs w:val="1"/>
          <w:color w:val="071D49"/>
        </w:rPr>
      </w:pPr>
      <w:r>
        <w:rPr>
          <w:rFonts w:ascii="Arial" w:cs="Arial" w:eastAsia="Arial" w:hAnsi="Arial"/>
          <w:sz w:val="14"/>
          <w:szCs w:val="14"/>
          <w:color w:val="auto"/>
        </w:rPr>
        <w:t xml:space="preserve">the company’s </w:t>
      </w:r>
      <w:r>
        <w:rPr>
          <w:rFonts w:ascii="Arial" w:cs="Arial" w:eastAsia="Arial" w:hAnsi="Arial"/>
          <w:sz w:val="14"/>
          <w:szCs w:val="14"/>
          <w:b w:val="1"/>
          <w:bCs w:val="1"/>
          <w:color w:val="auto"/>
        </w:rPr>
        <w:t>primary</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business goals </w:t>
      </w:r>
      <w:r>
        <w:rPr>
          <w:rFonts w:ascii="Arial" w:cs="Arial" w:eastAsia="Arial" w:hAnsi="Arial"/>
          <w:sz w:val="14"/>
          <w:szCs w:val="14"/>
          <w:color w:val="auto"/>
        </w:rPr>
        <w:t>to have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 remarkable impact on </w:t>
      </w:r>
      <w:r>
        <w:rPr>
          <w:rFonts w:ascii="Arial" w:cs="Arial" w:eastAsia="Arial" w:hAnsi="Arial"/>
          <w:sz w:val="21"/>
          <w:szCs w:val="21"/>
          <w:color w:val="auto"/>
          <w:vertAlign w:val="subscript"/>
        </w:rPr>
        <w:t>patients’ lives</w:t>
      </w:r>
      <w:r>
        <w:rPr>
          <w:rFonts w:ascii="Arial" w:cs="Arial" w:eastAsia="Arial" w:hAnsi="Arial"/>
          <w:sz w:val="14"/>
          <w:szCs w:val="14"/>
          <w:color w:val="auto"/>
        </w:rPr>
        <w:t>Supportachievement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550" w:right="80" w:hanging="550"/>
        <w:spacing w:after="0" w:line="228" w:lineRule="auto"/>
        <w:tabs>
          <w:tab w:leader="none" w:pos="550" w:val="left"/>
        </w:tabs>
        <w:numPr>
          <w:ilvl w:val="0"/>
          <w:numId w:val="23"/>
        </w:numPr>
        <w:rPr>
          <w:rFonts w:ascii="Arial" w:cs="Arial" w:eastAsia="Arial" w:hAnsi="Arial"/>
          <w:sz w:val="33"/>
          <w:szCs w:val="33"/>
          <w:b w:val="1"/>
          <w:bCs w:val="1"/>
          <w:color w:val="071D49"/>
        </w:rPr>
      </w:pPr>
      <w:r>
        <w:rPr>
          <w:rFonts w:ascii="Arial" w:cs="Arial" w:eastAsia="Arial" w:hAnsi="Arial"/>
          <w:sz w:val="14"/>
          <w:szCs w:val="14"/>
          <w:b w:val="1"/>
          <w:bCs w:val="1"/>
          <w:color w:val="auto"/>
        </w:rPr>
        <w:t xml:space="preserve">world-class executives </w:t>
      </w:r>
      <w:r>
        <w:rPr>
          <w:rFonts w:ascii="Arial" w:cs="Arial" w:eastAsia="Arial" w:hAnsi="Arial"/>
          <w:sz w:val="14"/>
          <w:szCs w:val="14"/>
          <w:color w:val="auto"/>
        </w:rPr>
        <w:t>whose talents and contributions sustain the growth in long-term stockholder value</w:t>
      </w:r>
      <w:r>
        <w:rPr>
          <w:rFonts w:ascii="Arial" w:cs="Arial" w:eastAsia="Arial" w:hAnsi="Arial"/>
          <w:sz w:val="21"/>
          <w:szCs w:val="21"/>
          <w:b w:val="1"/>
          <w:bCs w:val="1"/>
          <w:color w:val="auto"/>
          <w:vertAlign w:val="superscript"/>
        </w:rPr>
        <w:t>Attractandretain</w:t>
      </w:r>
    </w:p>
    <w:p>
      <w:pPr>
        <w:spacing w:after="0" w:line="148" w:lineRule="exact"/>
        <w:rPr>
          <w:sz w:val="20"/>
          <w:szCs w:val="20"/>
          <w:color w:val="auto"/>
        </w:rPr>
      </w:pPr>
    </w:p>
    <w:p>
      <w:pPr>
        <w:sectPr>
          <w:pgSz w:w="11900" w:h="16838" w:orient="portrait"/>
          <w:cols w:equalWidth="0" w:num="3">
            <w:col w:w="2660" w:space="676"/>
            <w:col w:w="2534" w:space="720"/>
            <w:col w:w="2590"/>
          </w:cols>
          <w:pgMar w:left="1320" w:top="530" w:right="1399" w:bottom="1440" w:gutter="0" w:footer="0" w:header="0"/>
          <w:type w:val="continuous"/>
        </w:sectPr>
      </w:pPr>
    </w:p>
    <w:p>
      <w:pPr>
        <w:spacing w:after="0" w:line="237" w:lineRule="auto"/>
        <w:rPr>
          <w:sz w:val="20"/>
          <w:szCs w:val="20"/>
          <w:color w:val="auto"/>
        </w:rPr>
      </w:pPr>
      <w:r>
        <w:rPr>
          <w:rFonts w:ascii="Arial" w:cs="Arial" w:eastAsia="Arial" w:hAnsi="Arial"/>
          <w:sz w:val="18"/>
          <w:szCs w:val="18"/>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his or her individual performance against goals and contributions to the short- and long-term performance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Key components and design of our executive compensation program:</w:t>
      </w:r>
    </w:p>
    <w:p>
      <w:pPr>
        <w:spacing w:after="0" w:line="16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880735" cy="2537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80735" cy="2537460"/>
                    </a:xfrm>
                    <a:prstGeom prst="rect">
                      <a:avLst/>
                    </a:prstGeom>
                    <a:noFill/>
                  </pic:spPr>
                </pic:pic>
              </a:graphicData>
            </a:graphic>
          </wp:anchor>
        </w:drawing>
      </w:r>
    </w:p>
    <w:p>
      <w:pPr>
        <w:sectPr>
          <w:pgSz w:w="11900" w:h="16838" w:orient="portrait"/>
          <w:cols w:equalWidth="0" w:num="1">
            <w:col w:w="9180"/>
          </w:cols>
          <w:pgMar w:left="1320" w:top="530" w:right="1399" w:bottom="1440" w:gutter="0" w:footer="0" w:header="0"/>
          <w:type w:val="continuous"/>
        </w:sectPr>
      </w:pPr>
    </w:p>
    <w:p>
      <w:pPr>
        <w:spacing w:after="0" w:line="14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Primary</w:t>
      </w:r>
    </w:p>
    <w:p>
      <w:pPr>
        <w:spacing w:after="0" w:line="18" w:lineRule="exact"/>
        <w:rPr>
          <w:sz w:val="20"/>
          <w:szCs w:val="20"/>
          <w:color w:val="auto"/>
        </w:rPr>
      </w:pPr>
    </w:p>
    <w:p>
      <w:pPr>
        <w:ind w:left="300"/>
        <w:spacing w:after="0"/>
        <w:tabs>
          <w:tab w:leader="none" w:pos="1580" w:val="left"/>
          <w:tab w:leader="none" w:pos="2660" w:val="left"/>
        </w:tabs>
        <w:rPr>
          <w:sz w:val="20"/>
          <w:szCs w:val="20"/>
          <w:color w:val="auto"/>
        </w:rPr>
      </w:pPr>
      <w:r>
        <w:rPr>
          <w:rFonts w:ascii="Arial" w:cs="Arial" w:eastAsia="Arial" w:hAnsi="Arial"/>
          <w:sz w:val="18"/>
          <w:szCs w:val="18"/>
          <w:b w:val="1"/>
          <w:bCs w:val="1"/>
          <w:color w:val="auto"/>
        </w:rPr>
        <w:t>Element</w:t>
      </w:r>
      <w:r>
        <w:rPr>
          <w:sz w:val="20"/>
          <w:szCs w:val="20"/>
          <w:color w:val="auto"/>
        </w:rPr>
        <w:tab/>
      </w:r>
      <w:r>
        <w:rPr>
          <w:rFonts w:ascii="Arial" w:cs="Arial" w:eastAsia="Arial" w:hAnsi="Arial"/>
          <w:sz w:val="18"/>
          <w:szCs w:val="18"/>
          <w:b w:val="1"/>
          <w:bCs w:val="1"/>
          <w:color w:val="auto"/>
        </w:rPr>
        <w:t>Type</w:t>
      </w:r>
      <w:r>
        <w:rPr>
          <w:sz w:val="20"/>
          <w:szCs w:val="20"/>
          <w:color w:val="auto"/>
        </w:rPr>
        <w:tab/>
      </w:r>
      <w:r>
        <w:rPr>
          <w:rFonts w:ascii="Arial" w:cs="Arial" w:eastAsia="Arial" w:hAnsi="Arial"/>
          <w:sz w:val="18"/>
          <w:szCs w:val="18"/>
          <w:b w:val="1"/>
          <w:bCs w:val="1"/>
          <w:color w:val="auto"/>
        </w:rPr>
        <w:t>Objective</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366"/>
        </w:trPr>
        <w:tc>
          <w:tcPr>
            <w:tcW w:w="40" w:type="dxa"/>
            <w:vAlign w:val="bottom"/>
            <w:tcBorders>
              <w:top w:val="single" w:sz="8" w:color="071D49"/>
              <w:right w:val="single" w:sz="8" w:color="071D49"/>
            </w:tcBorders>
            <w:shd w:val="clear" w:color="auto" w:fill="071D49"/>
          </w:tcPr>
          <w:p>
            <w:pPr>
              <w:spacing w:after="0"/>
              <w:rPr>
                <w:sz w:val="24"/>
                <w:szCs w:val="24"/>
                <w:color w:val="auto"/>
              </w:rPr>
            </w:pPr>
          </w:p>
        </w:tc>
        <w:tc>
          <w:tcPr>
            <w:tcW w:w="1080" w:type="dxa"/>
            <w:vAlign w:val="bottom"/>
            <w:tcBorders>
              <w:top w:val="single" w:sz="8" w:color="071D49"/>
            </w:tcBorders>
            <w:vMerge w:val="restart"/>
          </w:tcPr>
          <w:p>
            <w:pPr>
              <w:ind w:left="120"/>
              <w:spacing w:after="0"/>
              <w:rPr>
                <w:sz w:val="20"/>
                <w:szCs w:val="20"/>
                <w:color w:val="auto"/>
              </w:rPr>
            </w:pPr>
            <w:r>
              <w:rPr>
                <w:rFonts w:ascii="Arial" w:cs="Arial" w:eastAsia="Arial" w:hAnsi="Arial"/>
                <w:sz w:val="16"/>
                <w:szCs w:val="16"/>
                <w:b w:val="1"/>
                <w:bCs w:val="1"/>
                <w:color w:val="auto"/>
              </w:rPr>
              <w:t>Base Salary</w:t>
            </w:r>
          </w:p>
        </w:tc>
        <w:tc>
          <w:tcPr>
            <w:tcW w:w="200" w:type="dxa"/>
            <w:vAlign w:val="bottom"/>
            <w:tcBorders>
              <w:right w:val="single" w:sz="8" w:color="071D49"/>
            </w:tcBorders>
          </w:tcPr>
          <w:p>
            <w:pPr>
              <w:spacing w:after="0"/>
              <w:rPr>
                <w:sz w:val="24"/>
                <w:szCs w:val="24"/>
                <w:color w:val="auto"/>
              </w:rPr>
            </w:pPr>
          </w:p>
        </w:tc>
        <w:tc>
          <w:tcPr>
            <w:tcW w:w="900" w:type="dxa"/>
            <w:vAlign w:val="bottom"/>
            <w:tcBorders>
              <w:top w:val="single" w:sz="8" w:color="071D49"/>
            </w:tcBorders>
            <w:vMerge w:val="restart"/>
          </w:tcPr>
          <w:p>
            <w:pPr>
              <w:ind w:left="120"/>
              <w:spacing w:after="0"/>
              <w:rPr>
                <w:sz w:val="20"/>
                <w:szCs w:val="20"/>
                <w:color w:val="auto"/>
              </w:rPr>
            </w:pPr>
            <w:r>
              <w:rPr>
                <w:rFonts w:ascii="Arial" w:cs="Arial" w:eastAsia="Arial" w:hAnsi="Arial"/>
                <w:sz w:val="16"/>
                <w:szCs w:val="16"/>
                <w:color w:val="auto"/>
              </w:rPr>
              <w:t>Fixed</w:t>
            </w:r>
          </w:p>
        </w:tc>
        <w:tc>
          <w:tcPr>
            <w:tcW w:w="200" w:type="dxa"/>
            <w:vAlign w:val="bottom"/>
            <w:tcBorders>
              <w:right w:val="single" w:sz="8" w:color="071D49"/>
            </w:tcBorders>
          </w:tcPr>
          <w:p>
            <w:pPr>
              <w:spacing w:after="0"/>
              <w:rPr>
                <w:sz w:val="24"/>
                <w:szCs w:val="24"/>
                <w:color w:val="auto"/>
              </w:rPr>
            </w:pPr>
          </w:p>
        </w:tc>
        <w:tc>
          <w:tcPr>
            <w:tcW w:w="1260" w:type="dxa"/>
            <w:vAlign w:val="bottom"/>
            <w:tcBorders>
              <w:top w:val="single" w:sz="8" w:color="071D49"/>
            </w:tcBorders>
          </w:tcPr>
          <w:p>
            <w:pPr>
              <w:ind w:left="120"/>
              <w:spacing w:after="0"/>
              <w:rPr>
                <w:sz w:val="20"/>
                <w:szCs w:val="20"/>
                <w:color w:val="auto"/>
              </w:rPr>
            </w:pPr>
            <w:r>
              <w:rPr>
                <w:rFonts w:ascii="Arial" w:cs="Arial" w:eastAsia="Arial" w:hAnsi="Arial"/>
                <w:sz w:val="16"/>
                <w:szCs w:val="16"/>
                <w:color w:val="auto"/>
              </w:rPr>
              <w:t>Attract &amp; retain</w:t>
            </w:r>
          </w:p>
        </w:tc>
        <w:tc>
          <w:tcPr>
            <w:tcW w:w="0" w:type="dxa"/>
            <w:vAlign w:val="bottom"/>
          </w:tcPr>
          <w:p>
            <w:pPr>
              <w:spacing w:after="0"/>
              <w:rPr>
                <w:sz w:val="1"/>
                <w:szCs w:val="1"/>
                <w:color w:val="auto"/>
              </w:rPr>
            </w:pPr>
          </w:p>
        </w:tc>
      </w:tr>
      <w:tr>
        <w:trPr>
          <w:trHeight w:val="100"/>
        </w:trPr>
        <w:tc>
          <w:tcPr>
            <w:tcW w:w="40" w:type="dxa"/>
            <w:vAlign w:val="bottom"/>
            <w:tcBorders>
              <w:right w:val="single" w:sz="8" w:color="071D49"/>
            </w:tcBorders>
            <w:shd w:val="clear" w:color="auto" w:fill="071D49"/>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1260" w:type="dxa"/>
            <w:vAlign w:val="bottom"/>
            <w:vMerge w:val="restart"/>
          </w:tcPr>
          <w:p>
            <w:pPr>
              <w:ind w:left="120"/>
              <w:spacing w:after="0"/>
              <w:rPr>
                <w:sz w:val="20"/>
                <w:szCs w:val="20"/>
                <w:color w:val="auto"/>
              </w:rPr>
            </w:pPr>
            <w:r>
              <w:rPr>
                <w:rFonts w:ascii="Arial" w:cs="Arial" w:eastAsia="Arial" w:hAnsi="Arial"/>
                <w:sz w:val="16"/>
                <w:szCs w:val="16"/>
                <w:color w:val="auto"/>
              </w:rPr>
              <w:t>top talent</w:t>
            </w:r>
          </w:p>
        </w:tc>
        <w:tc>
          <w:tcPr>
            <w:tcW w:w="0" w:type="dxa"/>
            <w:vAlign w:val="bottom"/>
          </w:tcPr>
          <w:p>
            <w:pPr>
              <w:spacing w:after="0"/>
              <w:rPr>
                <w:sz w:val="1"/>
                <w:szCs w:val="1"/>
                <w:color w:val="auto"/>
              </w:rPr>
            </w:pPr>
          </w:p>
        </w:tc>
      </w:tr>
      <w:tr>
        <w:trPr>
          <w:trHeight w:val="95"/>
        </w:trPr>
        <w:tc>
          <w:tcPr>
            <w:tcW w:w="40" w:type="dxa"/>
            <w:vAlign w:val="bottom"/>
            <w:tcBorders>
              <w:right w:val="single" w:sz="8" w:color="071D49"/>
            </w:tcBorders>
            <w:shd w:val="clear" w:color="auto" w:fill="071D49"/>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071D49"/>
            </w:tcBorders>
            <w:shd w:val="clear" w:color="auto" w:fill="071D49"/>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Borders>
              <w:right w:val="single" w:sz="8" w:color="071D49"/>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Borders>
              <w:right w:val="single" w:sz="8" w:color="071D49"/>
            </w:tcBorders>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F1F1F1"/>
            </w:tcBorders>
          </w:tcPr>
          <w:p>
            <w:pPr>
              <w:spacing w:after="0"/>
              <w:rPr>
                <w:sz w:val="15"/>
                <w:szCs w:val="15"/>
                <w:color w:val="auto"/>
              </w:rPr>
            </w:pPr>
          </w:p>
        </w:tc>
        <w:tc>
          <w:tcPr>
            <w:tcW w:w="1080" w:type="dxa"/>
            <w:vAlign w:val="bottom"/>
            <w:shd w:val="clear" w:color="auto" w:fill="F1F1F1"/>
          </w:tcPr>
          <w:p>
            <w:pPr>
              <w:spacing w:after="0"/>
              <w:rPr>
                <w:sz w:val="15"/>
                <w:szCs w:val="15"/>
                <w:color w:val="auto"/>
              </w:rPr>
            </w:pPr>
          </w:p>
        </w:tc>
        <w:tc>
          <w:tcPr>
            <w:tcW w:w="200" w:type="dxa"/>
            <w:vAlign w:val="bottom"/>
            <w:tcBorders>
              <w:right w:val="single" w:sz="8" w:color="F1F1F1"/>
            </w:tcBorders>
          </w:tcPr>
          <w:p>
            <w:pPr>
              <w:spacing w:after="0"/>
              <w:rPr>
                <w:sz w:val="15"/>
                <w:szCs w:val="15"/>
                <w:color w:val="auto"/>
              </w:rPr>
            </w:pPr>
          </w:p>
        </w:tc>
        <w:tc>
          <w:tcPr>
            <w:tcW w:w="900" w:type="dxa"/>
            <w:vAlign w:val="bottom"/>
            <w:shd w:val="clear" w:color="auto" w:fill="F1F1F1"/>
          </w:tcPr>
          <w:p>
            <w:pPr>
              <w:spacing w:after="0"/>
              <w:rPr>
                <w:sz w:val="15"/>
                <w:szCs w:val="15"/>
                <w:color w:val="auto"/>
              </w:rPr>
            </w:pPr>
          </w:p>
        </w:tc>
        <w:tc>
          <w:tcPr>
            <w:tcW w:w="200" w:type="dxa"/>
            <w:vAlign w:val="bottom"/>
            <w:tcBorders>
              <w:right w:val="single" w:sz="8" w:color="F1F1F1"/>
            </w:tcBorders>
          </w:tcPr>
          <w:p>
            <w:pPr>
              <w:spacing w:after="0"/>
              <w:rPr>
                <w:sz w:val="15"/>
                <w:szCs w:val="15"/>
                <w:color w:val="auto"/>
              </w:rPr>
            </w:pPr>
          </w:p>
        </w:tc>
        <w:tc>
          <w:tcPr>
            <w:tcW w:w="1260" w:type="dxa"/>
            <w:vAlign w:val="bottom"/>
            <w:shd w:val="clear" w:color="auto" w:fill="F1F1F1"/>
          </w:tcPr>
          <w:p>
            <w:pPr>
              <w:spacing w:after="0"/>
              <w:rPr>
                <w:sz w:val="15"/>
                <w:szCs w:val="1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Encourage</w:t>
      </w:r>
    </w:p>
    <w:p>
      <w:pPr>
        <w:ind w:left="320"/>
        <w:spacing w:after="0"/>
        <w:tabs>
          <w:tab w:leader="none" w:pos="2680" w:val="left"/>
        </w:tabs>
        <w:rPr>
          <w:sz w:val="20"/>
          <w:szCs w:val="20"/>
          <w:color w:val="auto"/>
        </w:rPr>
      </w:pPr>
      <w:r>
        <w:rPr>
          <w:rFonts w:ascii="Arial" w:cs="Arial" w:eastAsia="Arial" w:hAnsi="Arial"/>
          <w:sz w:val="22"/>
          <w:szCs w:val="22"/>
          <w:b w:val="1"/>
          <w:bCs w:val="1"/>
          <w:color w:val="auto"/>
          <w:vertAlign w:val="subscript"/>
        </w:rPr>
        <w:t>Short-Term</w:t>
      </w:r>
      <w:r>
        <w:rPr>
          <w:sz w:val="20"/>
          <w:szCs w:val="20"/>
          <w:color w:val="auto"/>
        </w:rPr>
        <w:tab/>
      </w:r>
      <w:r>
        <w:rPr>
          <w:rFonts w:ascii="Arial" w:cs="Arial" w:eastAsia="Arial" w:hAnsi="Arial"/>
          <w:sz w:val="16"/>
          <w:szCs w:val="16"/>
          <w:color w:val="auto"/>
        </w:rPr>
        <w:t>achievement of</w:t>
      </w:r>
    </w:p>
    <w:p>
      <w:pPr>
        <w:ind w:left="1600" w:right="380" w:hanging="2375"/>
        <w:spacing w:after="0" w:line="246" w:lineRule="auto"/>
        <w:tabs>
          <w:tab w:leader="none" w:pos="1580" w:val="left"/>
        </w:tabs>
        <w:rPr>
          <w:sz w:val="20"/>
          <w:szCs w:val="20"/>
          <w:color w:val="auto"/>
        </w:rPr>
      </w:pPr>
      <w:r>
        <w:rPr>
          <w:rFonts w:ascii="Arial" w:cs="Arial" w:eastAsia="Arial" w:hAnsi="Arial"/>
          <w:sz w:val="32"/>
          <w:szCs w:val="32"/>
          <w:b w:val="1"/>
          <w:bCs w:val="1"/>
          <w:color w:val="auto"/>
          <w:vertAlign w:val="subscript"/>
        </w:rPr>
        <w:t>Incentives</w:t>
      </w:r>
      <w:r>
        <w:rPr>
          <w:sz w:val="20"/>
          <w:szCs w:val="20"/>
          <w:color w:val="auto"/>
        </w:rPr>
        <w:tab/>
      </w:r>
      <w:r>
        <w:rPr>
          <w:rFonts w:ascii="Arial" w:cs="Arial" w:eastAsia="Arial" w:hAnsi="Arial"/>
          <w:sz w:val="16"/>
          <w:szCs w:val="16"/>
          <w:color w:val="auto"/>
        </w:rPr>
        <w:t>At-Risk company’s primary</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business goals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40" w:type="dxa"/>
            <w:vAlign w:val="bottom"/>
            <w:tcBorders>
              <w:bottom w:val="single" w:sz="8" w:color="071D49"/>
              <w:right w:val="single" w:sz="8" w:color="F1F1F1"/>
            </w:tcBorders>
          </w:tcPr>
          <w:p>
            <w:pPr>
              <w:spacing w:after="0"/>
              <w:rPr>
                <w:sz w:val="14"/>
                <w:szCs w:val="14"/>
                <w:color w:val="auto"/>
              </w:rPr>
            </w:pPr>
          </w:p>
        </w:tc>
        <w:tc>
          <w:tcPr>
            <w:tcW w:w="1080" w:type="dxa"/>
            <w:vAlign w:val="bottom"/>
            <w:tcBorders>
              <w:bottom w:val="single" w:sz="8" w:color="071D49"/>
            </w:tcBorders>
            <w:shd w:val="clear" w:color="auto" w:fill="F1F1F1"/>
          </w:tcPr>
          <w:p>
            <w:pPr>
              <w:spacing w:after="0"/>
              <w:rPr>
                <w:sz w:val="14"/>
                <w:szCs w:val="14"/>
                <w:color w:val="auto"/>
              </w:rPr>
            </w:pPr>
          </w:p>
        </w:tc>
        <w:tc>
          <w:tcPr>
            <w:tcW w:w="200" w:type="dxa"/>
            <w:vAlign w:val="bottom"/>
            <w:tcBorders>
              <w:right w:val="single" w:sz="8" w:color="F1F1F1"/>
            </w:tcBorders>
          </w:tcPr>
          <w:p>
            <w:pPr>
              <w:spacing w:after="0"/>
              <w:rPr>
                <w:sz w:val="14"/>
                <w:szCs w:val="14"/>
                <w:color w:val="auto"/>
              </w:rPr>
            </w:pPr>
          </w:p>
        </w:tc>
        <w:tc>
          <w:tcPr>
            <w:tcW w:w="900" w:type="dxa"/>
            <w:vAlign w:val="bottom"/>
            <w:tcBorders>
              <w:bottom w:val="single" w:sz="8" w:color="071D49"/>
            </w:tcBorders>
            <w:shd w:val="clear" w:color="auto" w:fill="F1F1F1"/>
          </w:tcPr>
          <w:p>
            <w:pPr>
              <w:spacing w:after="0"/>
              <w:rPr>
                <w:sz w:val="14"/>
                <w:szCs w:val="14"/>
                <w:color w:val="auto"/>
              </w:rPr>
            </w:pPr>
          </w:p>
        </w:tc>
        <w:tc>
          <w:tcPr>
            <w:tcW w:w="200" w:type="dxa"/>
            <w:vAlign w:val="bottom"/>
            <w:tcBorders>
              <w:right w:val="single" w:sz="8" w:color="F1F1F1"/>
            </w:tcBorders>
          </w:tcPr>
          <w:p>
            <w:pPr>
              <w:spacing w:after="0"/>
              <w:rPr>
                <w:sz w:val="14"/>
                <w:szCs w:val="14"/>
                <w:color w:val="auto"/>
              </w:rPr>
            </w:pPr>
          </w:p>
        </w:tc>
        <w:tc>
          <w:tcPr>
            <w:tcW w:w="1260" w:type="dxa"/>
            <w:vAlign w:val="bottom"/>
            <w:tcBorders>
              <w:bottom w:val="single" w:sz="8" w:color="071D49"/>
            </w:tcBorders>
            <w:shd w:val="clear" w:color="auto" w:fill="F1F1F1"/>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40" w:type="dxa"/>
            <w:vAlign w:val="bottom"/>
            <w:tcBorders>
              <w:right w:val="single" w:sz="8" w:color="071D49"/>
            </w:tcBorders>
            <w:shd w:val="clear" w:color="auto" w:fill="071D49"/>
          </w:tcPr>
          <w:p>
            <w:pPr>
              <w:spacing w:after="0"/>
              <w:rPr>
                <w:sz w:val="24"/>
                <w:szCs w:val="24"/>
                <w:color w:val="auto"/>
              </w:rPr>
            </w:pPr>
          </w:p>
        </w:tc>
        <w:tc>
          <w:tcPr>
            <w:tcW w:w="10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Long-Term</w:t>
            </w:r>
          </w:p>
        </w:tc>
        <w:tc>
          <w:tcPr>
            <w:tcW w:w="200" w:type="dxa"/>
            <w:vAlign w:val="bottom"/>
            <w:tcBorders>
              <w:right w:val="single" w:sz="8" w:color="071D49"/>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right w:val="single" w:sz="8" w:color="071D49"/>
            </w:tcBorders>
          </w:tcPr>
          <w:p>
            <w:pPr>
              <w:spacing w:after="0"/>
              <w:rPr>
                <w:sz w:val="24"/>
                <w:szCs w:val="24"/>
                <w:color w:val="auto"/>
              </w:rPr>
            </w:pPr>
          </w:p>
        </w:tc>
        <w:tc>
          <w:tcPr>
            <w:tcW w:w="1260" w:type="dxa"/>
            <w:vAlign w:val="bottom"/>
          </w:tcPr>
          <w:p>
            <w:pPr>
              <w:ind w:left="120"/>
              <w:spacing w:after="0"/>
              <w:rPr>
                <w:sz w:val="20"/>
                <w:szCs w:val="20"/>
                <w:color w:val="auto"/>
              </w:rPr>
            </w:pPr>
            <w:r>
              <w:rPr>
                <w:rFonts w:ascii="Arial" w:cs="Arial" w:eastAsia="Arial" w:hAnsi="Arial"/>
                <w:sz w:val="16"/>
                <w:szCs w:val="16"/>
                <w:color w:val="auto"/>
              </w:rPr>
              <w:t>Align NEO</w:t>
            </w:r>
          </w:p>
        </w:tc>
        <w:tc>
          <w:tcPr>
            <w:tcW w:w="0" w:type="dxa"/>
            <w:vAlign w:val="bottom"/>
          </w:tcPr>
          <w:p>
            <w:pPr>
              <w:spacing w:after="0"/>
              <w:rPr>
                <w:sz w:val="1"/>
                <w:szCs w:val="1"/>
                <w:color w:val="auto"/>
              </w:rPr>
            </w:pPr>
          </w:p>
        </w:tc>
      </w:tr>
      <w:tr>
        <w:trPr>
          <w:trHeight w:val="74"/>
        </w:trPr>
        <w:tc>
          <w:tcPr>
            <w:tcW w:w="40" w:type="dxa"/>
            <w:vAlign w:val="bottom"/>
            <w:tcBorders>
              <w:right w:val="single" w:sz="8" w:color="071D49"/>
            </w:tcBorders>
            <w:shd w:val="clear" w:color="auto" w:fill="071D49"/>
          </w:tcPr>
          <w:p>
            <w:pPr>
              <w:spacing w:after="0"/>
              <w:rPr>
                <w:sz w:val="6"/>
                <w:szCs w:val="6"/>
                <w:color w:val="auto"/>
              </w:rPr>
            </w:pPr>
          </w:p>
        </w:tc>
        <w:tc>
          <w:tcPr>
            <w:tcW w:w="1080" w:type="dxa"/>
            <w:vAlign w:val="bottom"/>
            <w:vMerge w:val="continue"/>
          </w:tcPr>
          <w:p>
            <w:pPr>
              <w:spacing w:after="0"/>
              <w:rPr>
                <w:sz w:val="6"/>
                <w:szCs w:val="6"/>
                <w:color w:val="auto"/>
              </w:rPr>
            </w:pPr>
          </w:p>
        </w:tc>
        <w:tc>
          <w:tcPr>
            <w:tcW w:w="200" w:type="dxa"/>
            <w:vAlign w:val="bottom"/>
            <w:tcBorders>
              <w:right w:val="single" w:sz="8" w:color="071D49"/>
            </w:tcBorders>
          </w:tcPr>
          <w:p>
            <w:pPr>
              <w:spacing w:after="0"/>
              <w:rPr>
                <w:sz w:val="6"/>
                <w:szCs w:val="6"/>
                <w:color w:val="auto"/>
              </w:rPr>
            </w:pPr>
          </w:p>
        </w:tc>
        <w:tc>
          <w:tcPr>
            <w:tcW w:w="900" w:type="dxa"/>
            <w:vAlign w:val="bottom"/>
            <w:vMerge w:val="restart"/>
          </w:tcPr>
          <w:p>
            <w:pPr>
              <w:ind w:left="120"/>
              <w:spacing w:after="0"/>
              <w:rPr>
                <w:sz w:val="20"/>
                <w:szCs w:val="20"/>
                <w:color w:val="auto"/>
              </w:rPr>
            </w:pPr>
            <w:r>
              <w:rPr>
                <w:rFonts w:ascii="Arial" w:cs="Arial" w:eastAsia="Arial" w:hAnsi="Arial"/>
                <w:sz w:val="16"/>
                <w:szCs w:val="16"/>
                <w:color w:val="auto"/>
              </w:rPr>
              <w:t>At-Risk</w:t>
            </w:r>
          </w:p>
        </w:tc>
        <w:tc>
          <w:tcPr>
            <w:tcW w:w="200" w:type="dxa"/>
            <w:vAlign w:val="bottom"/>
            <w:tcBorders>
              <w:right w:val="single" w:sz="8" w:color="071D49"/>
            </w:tcBorders>
          </w:tcPr>
          <w:p>
            <w:pPr>
              <w:spacing w:after="0"/>
              <w:rPr>
                <w:sz w:val="6"/>
                <w:szCs w:val="6"/>
                <w:color w:val="auto"/>
              </w:rPr>
            </w:pPr>
          </w:p>
        </w:tc>
        <w:tc>
          <w:tcPr>
            <w:tcW w:w="1260" w:type="dxa"/>
            <w:vAlign w:val="bottom"/>
            <w:vMerge w:val="restart"/>
          </w:tcPr>
          <w:p>
            <w:pPr>
              <w:ind w:left="120"/>
              <w:spacing w:after="0"/>
              <w:rPr>
                <w:sz w:val="20"/>
                <w:szCs w:val="20"/>
                <w:color w:val="auto"/>
              </w:rPr>
            </w:pPr>
            <w:r>
              <w:rPr>
                <w:rFonts w:ascii="Arial" w:cs="Arial" w:eastAsia="Arial" w:hAnsi="Arial"/>
                <w:sz w:val="16"/>
                <w:szCs w:val="16"/>
                <w:color w:val="auto"/>
              </w:rPr>
              <w:t>interests with</w:t>
            </w:r>
          </w:p>
        </w:tc>
        <w:tc>
          <w:tcPr>
            <w:tcW w:w="0" w:type="dxa"/>
            <w:vAlign w:val="bottom"/>
          </w:tcPr>
          <w:p>
            <w:pPr>
              <w:spacing w:after="0"/>
              <w:rPr>
                <w:sz w:val="1"/>
                <w:szCs w:val="1"/>
                <w:color w:val="auto"/>
              </w:rPr>
            </w:pPr>
          </w:p>
        </w:tc>
      </w:tr>
      <w:tr>
        <w:trPr>
          <w:trHeight w:val="115"/>
        </w:trPr>
        <w:tc>
          <w:tcPr>
            <w:tcW w:w="40" w:type="dxa"/>
            <w:vAlign w:val="bottom"/>
            <w:tcBorders>
              <w:right w:val="single" w:sz="8" w:color="071D49"/>
            </w:tcBorders>
            <w:shd w:val="clear" w:color="auto" w:fill="071D49"/>
          </w:tcPr>
          <w:p>
            <w:pPr>
              <w:spacing w:after="0"/>
              <w:rPr>
                <w:sz w:val="9"/>
                <w:szCs w:val="9"/>
                <w:color w:val="auto"/>
              </w:rPr>
            </w:pPr>
          </w:p>
        </w:tc>
        <w:tc>
          <w:tcPr>
            <w:tcW w:w="108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Incentives</w:t>
            </w:r>
          </w:p>
        </w:tc>
        <w:tc>
          <w:tcPr>
            <w:tcW w:w="200" w:type="dxa"/>
            <w:vAlign w:val="bottom"/>
            <w:tcBorders>
              <w:right w:val="single" w:sz="8" w:color="071D49"/>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200" w:type="dxa"/>
            <w:vAlign w:val="bottom"/>
            <w:tcBorders>
              <w:right w:val="single" w:sz="8" w:color="071D49"/>
            </w:tcBorders>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0" w:type="dxa"/>
            <w:vAlign w:val="bottom"/>
            <w:tcBorders>
              <w:right w:val="single" w:sz="8" w:color="071D49"/>
            </w:tcBorders>
            <w:shd w:val="clear" w:color="auto" w:fill="071D49"/>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1260" w:type="dxa"/>
            <w:vAlign w:val="bottom"/>
            <w:vMerge w:val="restart"/>
          </w:tcPr>
          <w:p>
            <w:pPr>
              <w:ind w:left="120"/>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95"/>
        </w:trPr>
        <w:tc>
          <w:tcPr>
            <w:tcW w:w="40" w:type="dxa"/>
            <w:vAlign w:val="bottom"/>
            <w:tcBorders>
              <w:right w:val="single" w:sz="8" w:color="071D49"/>
            </w:tcBorders>
            <w:shd w:val="clear" w:color="auto" w:fill="071D49"/>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right w:val="single" w:sz="8" w:color="071D49"/>
            </w:tcBorders>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 w:type="dxa"/>
            <w:vAlign w:val="bottom"/>
            <w:tcBorders>
              <w:right w:val="single" w:sz="8" w:color="071D49"/>
            </w:tcBorders>
            <w:shd w:val="clear" w:color="auto" w:fill="071D49"/>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Borders>
              <w:right w:val="single" w:sz="8" w:color="071D49"/>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Borders>
              <w:right w:val="single" w:sz="8" w:color="071D49"/>
            </w:tcBorders>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F1F1F1"/>
            </w:tcBorders>
          </w:tcPr>
          <w:p>
            <w:pPr>
              <w:spacing w:after="0"/>
              <w:rPr>
                <w:sz w:val="14"/>
                <w:szCs w:val="14"/>
                <w:color w:val="auto"/>
              </w:rPr>
            </w:pPr>
          </w:p>
        </w:tc>
        <w:tc>
          <w:tcPr>
            <w:tcW w:w="1080" w:type="dxa"/>
            <w:vAlign w:val="bottom"/>
            <w:shd w:val="clear" w:color="auto" w:fill="F1F1F1"/>
          </w:tcPr>
          <w:p>
            <w:pPr>
              <w:spacing w:after="0"/>
              <w:rPr>
                <w:sz w:val="14"/>
                <w:szCs w:val="14"/>
                <w:color w:val="auto"/>
              </w:rPr>
            </w:pPr>
          </w:p>
        </w:tc>
        <w:tc>
          <w:tcPr>
            <w:tcW w:w="200" w:type="dxa"/>
            <w:vAlign w:val="bottom"/>
            <w:tcBorders>
              <w:right w:val="single" w:sz="8" w:color="F1F1F1"/>
            </w:tcBorders>
          </w:tcPr>
          <w:p>
            <w:pPr>
              <w:spacing w:after="0"/>
              <w:rPr>
                <w:sz w:val="14"/>
                <w:szCs w:val="14"/>
                <w:color w:val="auto"/>
              </w:rPr>
            </w:pPr>
          </w:p>
        </w:tc>
        <w:tc>
          <w:tcPr>
            <w:tcW w:w="900" w:type="dxa"/>
            <w:vAlign w:val="bottom"/>
            <w:shd w:val="clear" w:color="auto" w:fill="F1F1F1"/>
          </w:tcPr>
          <w:p>
            <w:pPr>
              <w:spacing w:after="0"/>
              <w:rPr>
                <w:sz w:val="14"/>
                <w:szCs w:val="14"/>
                <w:color w:val="auto"/>
              </w:rPr>
            </w:pPr>
          </w:p>
        </w:tc>
        <w:tc>
          <w:tcPr>
            <w:tcW w:w="200" w:type="dxa"/>
            <w:vAlign w:val="bottom"/>
            <w:tcBorders>
              <w:right w:val="single" w:sz="8" w:color="F1F1F1"/>
            </w:tcBorders>
          </w:tcPr>
          <w:p>
            <w:pPr>
              <w:spacing w:after="0"/>
              <w:rPr>
                <w:sz w:val="14"/>
                <w:szCs w:val="14"/>
                <w:color w:val="auto"/>
              </w:rPr>
            </w:pPr>
          </w:p>
        </w:tc>
        <w:tc>
          <w:tcPr>
            <w:tcW w:w="1260" w:type="dxa"/>
            <w:vAlign w:val="bottom"/>
            <w:shd w:val="clear" w:color="auto" w:fill="F1F1F1"/>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Characteristics</w:t>
      </w:r>
    </w:p>
    <w:p>
      <w:pPr>
        <w:spacing w:after="0" w:line="263" w:lineRule="exact"/>
        <w:rPr>
          <w:sz w:val="20"/>
          <w:szCs w:val="20"/>
          <w:color w:val="auto"/>
        </w:rPr>
      </w:pPr>
    </w:p>
    <w:p>
      <w:pPr>
        <w:ind w:left="20" w:right="260"/>
        <w:spacing w:after="0" w:line="253" w:lineRule="auto"/>
        <w:rPr>
          <w:sz w:val="20"/>
          <w:szCs w:val="20"/>
          <w:color w:val="auto"/>
        </w:rPr>
      </w:pPr>
      <w:r>
        <w:rPr>
          <w:rFonts w:ascii="Arial" w:cs="Arial" w:eastAsia="Arial" w:hAnsi="Arial"/>
          <w:sz w:val="16"/>
          <w:szCs w:val="16"/>
          <w:color w:val="auto"/>
        </w:rPr>
        <w:t>Individual salaries are established relative to market median based on each NEO’s individual performance, skills, experience, and internal equity, as well as the company’s annual operating budget</w:t>
      </w:r>
    </w:p>
    <w:p>
      <w:pPr>
        <w:spacing w:after="0" w:line="228" w:lineRule="exact"/>
        <w:rPr>
          <w:sz w:val="20"/>
          <w:szCs w:val="20"/>
          <w:color w:val="auto"/>
        </w:rPr>
      </w:pPr>
    </w:p>
    <w:p>
      <w:pPr>
        <w:ind w:left="20" w:right="220"/>
        <w:spacing w:after="0" w:line="246" w:lineRule="auto"/>
        <w:rPr>
          <w:sz w:val="20"/>
          <w:szCs w:val="20"/>
          <w:color w:val="auto"/>
        </w:rPr>
      </w:pPr>
      <w:r>
        <w:rPr>
          <w:rFonts w:ascii="Arial" w:cs="Arial" w:eastAsia="Arial" w:hAnsi="Arial"/>
          <w:sz w:val="16"/>
          <w:szCs w:val="16"/>
          <w:color w:val="auto"/>
        </w:rPr>
        <w:t>Plan utilizes non-GAAP financial goals as well as an assessment of individual performance against strategic objectives: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Net revenues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Income before taxes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Operating margin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Return on assets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Strategic and leadership goals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incentive annual awards are granted in the form of:</w:t>
      </w:r>
    </w:p>
    <w:p>
      <w:pPr>
        <w:spacing w:after="0" w:line="5" w:lineRule="exact"/>
        <w:rPr>
          <w:sz w:val="20"/>
          <w:szCs w:val="20"/>
          <w:color w:val="auto"/>
        </w:rPr>
      </w:pPr>
    </w:p>
    <w:p>
      <w:pPr>
        <w:ind w:left="20" w:right="440"/>
        <w:spacing w:after="0" w:line="246" w:lineRule="auto"/>
        <w:rPr>
          <w:sz w:val="20"/>
          <w:szCs w:val="20"/>
          <w:color w:val="auto"/>
        </w:rPr>
      </w:pPr>
      <w:r>
        <w:rPr>
          <w:rFonts w:ascii="Arial" w:cs="Arial" w:eastAsia="Arial" w:hAnsi="Arial"/>
          <w:sz w:val="16"/>
          <w:szCs w:val="16"/>
          <w:color w:val="auto"/>
        </w:rPr>
        <w:t>— Performance shares and performance vested restricted stock units (80% of NEO’s LTI award)</w:t>
      </w:r>
    </w:p>
    <w:p>
      <w:pPr>
        <w:ind w:left="20"/>
        <w:spacing w:after="0"/>
        <w:rPr>
          <w:sz w:val="20"/>
          <w:szCs w:val="20"/>
          <w:color w:val="auto"/>
        </w:rPr>
      </w:pPr>
      <w:r>
        <w:rPr>
          <w:rFonts w:ascii="Arial" w:cs="Arial" w:eastAsia="Arial" w:hAnsi="Arial"/>
          <w:sz w:val="16"/>
          <w:szCs w:val="16"/>
          <w:color w:val="auto"/>
        </w:rPr>
        <w:t>— Non-qualified stock options (20% of NEO’s LTI award)</w:t>
      </w:r>
    </w:p>
    <w:p>
      <w:pPr>
        <w:spacing w:after="0" w:line="365" w:lineRule="exact"/>
        <w:rPr>
          <w:sz w:val="20"/>
          <w:szCs w:val="20"/>
          <w:color w:val="auto"/>
        </w:rPr>
      </w:pPr>
    </w:p>
    <w:p>
      <w:pPr>
        <w:sectPr>
          <w:pgSz w:w="11900" w:h="16838" w:orient="portrait"/>
          <w:cols w:equalWidth="0" w:num="2">
            <w:col w:w="3840" w:space="280"/>
            <w:col w:w="5060"/>
          </w:cols>
          <w:pgMar w:left="1320" w:top="530" w:right="1399" w:bottom="1440" w:gutter="0" w:footer="0" w:header="0"/>
          <w:type w:val="continuous"/>
        </w:sectPr>
      </w:pPr>
    </w:p>
    <w:p>
      <w:pPr>
        <w:spacing w:after="0" w:line="311"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12</w:t>
      </w:r>
      <w:r>
        <w:rPr>
          <w:sz w:val="20"/>
          <w:szCs w:val="20"/>
          <w:color w:val="auto"/>
        </w:rPr>
        <w:tab/>
      </w:r>
      <w:r>
        <w:rPr>
          <w:sz w:val="1"/>
          <w:szCs w:val="1"/>
          <w:color w:val="auto"/>
        </w:rPr>
        <w:drawing>
          <wp:inline distT="0" distB="0" distL="0" distR="0">
            <wp:extent cx="874395" cy="1631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180"/>
          </w:cols>
          <w:pgMar w:left="1320" w:top="530" w:right="13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5"/>
          <w:szCs w:val="35"/>
          <w:color w:val="071D49"/>
        </w:rPr>
        <w:t>INFORMATION CONCERNING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8807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191135</wp:posOffset>
            </wp:positionV>
            <wp:extent cx="25400" cy="5829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400" cy="58293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182880</wp:posOffset>
            </wp:positionV>
            <wp:extent cx="4011930" cy="6000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11930" cy="60007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40"/>
        <w:spacing w:after="0" w:line="288" w:lineRule="auto"/>
        <w:rPr>
          <w:sz w:val="20"/>
          <w:szCs w:val="20"/>
          <w:color w:val="auto"/>
        </w:rPr>
      </w:pPr>
      <w:r>
        <w:rPr>
          <w:rFonts w:ascii="Arial" w:cs="Arial" w:eastAsia="Arial" w:hAnsi="Arial"/>
          <w:sz w:val="25"/>
          <w:szCs w:val="25"/>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are being asked to elect four Class I directors at the Annual Meeting.</w:t>
      </w:r>
    </w:p>
    <w:p>
      <w:pPr>
        <w:spacing w:after="0" w:line="10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The board of directors therefore recommends you vote </w:t>
      </w:r>
      <w:r>
        <w:rPr>
          <w:rFonts w:ascii="Arial" w:cs="Arial" w:eastAsia="Arial" w:hAnsi="Arial"/>
          <w:sz w:val="18"/>
          <w:szCs w:val="18"/>
          <w:b w:val="1"/>
          <w:bCs w:val="1"/>
          <w:color w:val="auto"/>
        </w:rPr>
        <w:t>“FOR”</w:t>
      </w:r>
      <w:r>
        <w:rPr>
          <w:rFonts w:ascii="Arial" w:cs="Arial" w:eastAsia="Arial" w:hAnsi="Arial"/>
          <w:sz w:val="18"/>
          <w:szCs w:val="18"/>
          <w:b w:val="1"/>
          <w:bCs w:val="1"/>
          <w:i w:val="1"/>
          <w:iCs w:val="1"/>
          <w:color w:val="auto"/>
        </w:rPr>
        <w:t xml:space="preserve"> each of the nominees set forth below.</w:t>
      </w:r>
    </w:p>
    <w:p>
      <w:pPr>
        <w:spacing w:after="0" w:line="200" w:lineRule="exact"/>
        <w:rPr>
          <w:sz w:val="20"/>
          <w:szCs w:val="20"/>
          <w:color w:val="auto"/>
        </w:rPr>
      </w:pPr>
    </w:p>
    <w:p>
      <w:pPr>
        <w:sectPr>
          <w:pgSz w:w="11900" w:h="16838" w:orient="portrait"/>
          <w:cols w:equalWidth="0" w:num="2">
            <w:col w:w="2940" w:space="160"/>
            <w:col w:w="6160"/>
          </w:cols>
          <w:pgMar w:left="1320" w:top="530" w:right="1319" w:bottom="1440" w:gutter="0" w:footer="0" w:header="0"/>
          <w:type w:val="continuous"/>
        </w:sectPr>
      </w:pPr>
    </w:p>
    <w:p>
      <w:pPr>
        <w:spacing w:after="0" w:line="8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board of directors consists of three classes currently comprised of four directors in Class I, four directors in Class II, and four directors in Class III. Directors of one class are elected each year for a term of three years. The Class I directors are presented for re-election to hold office until the expiration of their term at the 2025 annual meeting of stockholders and until their successors are elected and qualified or until their earlier death or resignation. All of the nominees are currently serving as directors.</w:t>
      </w:r>
    </w:p>
    <w:p>
      <w:pPr>
        <w:spacing w:after="0" w:line="17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AbbVie’s governance guidelines provide that a director shall retire on the day of the annual stockholder meeting following his or her 75th birthday; provided, however, that the full board may make exceptions from time to time due to special circumstances. In late 2020, the board determined that Mr. Liddy, a Class II director, should remain an additional year. Mr. Liddy will now retire as a director as of the 2022 annual stockholder meeting.</w:t>
      </w:r>
    </w:p>
    <w:p>
      <w:pPr>
        <w:spacing w:after="0" w:line="16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b w:val="1"/>
                <w:bCs w:val="1"/>
                <w:i w:val="1"/>
                <w:i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-556895</wp:posOffset>
            </wp:positionV>
            <wp:extent cx="87439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INFORMATION CONCERNING DIRECTOR NOMINEES</w:t>
      </w: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auto"/>
        </w:rPr>
        <w:t>Nominees (Class I)</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826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74395" cy="8826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70</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and Nominations &amp; Governance</w:t>
      </w:r>
    </w:p>
    <w:p>
      <w:pPr>
        <w:ind w:left="1720"/>
        <w:spacing w:after="0" w:line="235" w:lineRule="auto"/>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Senior Vice President and Director at The Boston</w:t>
      </w:r>
    </w:p>
    <w:p>
      <w:pPr>
        <w:ind w:left="1720"/>
        <w:spacing w:after="0"/>
        <w:rPr>
          <w:sz w:val="20"/>
          <w:szCs w:val="20"/>
          <w:color w:val="auto"/>
        </w:rPr>
      </w:pPr>
      <w:r>
        <w:rPr>
          <w:rFonts w:ascii="Arial" w:cs="Arial" w:eastAsia="Arial" w:hAnsi="Arial"/>
          <w:sz w:val="18"/>
          <w:szCs w:val="18"/>
          <w:b w:val="1"/>
          <w:bCs w:val="1"/>
          <w:color w:val="071D49"/>
        </w:rPr>
        <w:t>Consulting Group</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180"/>
        <w:spacing w:after="0" w:line="238" w:lineRule="auto"/>
        <w:rPr>
          <w:sz w:val="20"/>
          <w:szCs w:val="20"/>
          <w:color w:val="auto"/>
        </w:rPr>
      </w:pPr>
      <w:r>
        <w:rPr>
          <w:rFonts w:ascii="Arial" w:cs="Arial" w:eastAsia="Arial" w:hAnsi="Arial"/>
          <w:sz w:val="18"/>
          <w:szCs w:val="18"/>
          <w:color w:val="auto"/>
        </w:rPr>
        <w:t>Mr. Burnside is a retired senior vice president and director at The Boston Consulting Group (BCG), where he currently serves as an advisor. Prior to becoming managing partner of BCG’s Los Angeles office in 1987, he worked in BCG’s London and Chicago offices, servicing clients in telecommunications, media, defense, financial services, and manufacturing.</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240" w:hanging="261"/>
        <w:spacing w:after="0" w:line="248" w:lineRule="auto"/>
        <w:tabs>
          <w:tab w:leader="none" w:pos="418" w:val="left"/>
        </w:tabs>
        <w:numPr>
          <w:ilvl w:val="0"/>
          <w:numId w:val="26"/>
        </w:numPr>
        <w:rPr>
          <w:rFonts w:ascii="Arial" w:cs="Arial" w:eastAsia="Arial" w:hAnsi="Arial"/>
          <w:sz w:val="16"/>
          <w:szCs w:val="16"/>
          <w:color w:val="071D49"/>
        </w:rPr>
      </w:pPr>
      <w:r>
        <w:rPr>
          <w:rFonts w:ascii="Arial" w:cs="Arial" w:eastAsia="Arial" w:hAnsi="Arial"/>
          <w:sz w:val="18"/>
          <w:szCs w:val="18"/>
          <w:color w:val="auto"/>
        </w:rPr>
        <w:t>Through his experience with The Boston Consulting Group, Mr. Burnside contributes knowledge and understanding of corporate finance and capital markets matters to the board, as well as global and domestic strategic advisory experience across a broad base of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34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-162560</wp:posOffset>
            </wp:positionV>
            <wp:extent cx="908685" cy="9512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08685" cy="95123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2020</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67</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and Compensation</w:t>
      </w:r>
    </w:p>
    <w:p>
      <w:pPr>
        <w:ind w:left="1720"/>
        <w:spacing w:after="0" w:line="235" w:lineRule="auto"/>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Executive Vice President, Finance and Administration,</w:t>
      </w:r>
    </w:p>
    <w:p>
      <w:pPr>
        <w:ind w:left="1720"/>
        <w:spacing w:after="0"/>
        <w:rPr>
          <w:sz w:val="20"/>
          <w:szCs w:val="20"/>
          <w:color w:val="auto"/>
        </w:rPr>
      </w:pPr>
      <w:r>
        <w:rPr>
          <w:rFonts w:ascii="Arial" w:cs="Arial" w:eastAsia="Arial" w:hAnsi="Arial"/>
          <w:sz w:val="18"/>
          <w:szCs w:val="18"/>
          <w:b w:val="1"/>
          <w:bCs w:val="1"/>
          <w:color w:val="071D49"/>
        </w:rPr>
        <w:t>Abbott Laboratories</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spacing w:after="0" w:line="238" w:lineRule="auto"/>
        <w:rPr>
          <w:sz w:val="20"/>
          <w:szCs w:val="20"/>
          <w:color w:val="auto"/>
        </w:rPr>
      </w:pPr>
      <w:r>
        <w:rPr>
          <w:rFonts w:ascii="Arial" w:cs="Arial" w:eastAsia="Arial" w:hAnsi="Arial"/>
          <w:sz w:val="18"/>
          <w:szCs w:val="18"/>
          <w:color w:val="auto"/>
        </w:rPr>
        <w:t>Mr. Freyman served as a director at Allergan from 2018 to 2020, when AbbVie acquired Allergan plc. 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He also serves as a director of Tenneco Inc. and Hanger, Inc.</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hanging="261"/>
        <w:spacing w:after="0" w:line="248" w:lineRule="auto"/>
        <w:tabs>
          <w:tab w:leader="none" w:pos="361" w:val="left"/>
        </w:tabs>
        <w:numPr>
          <w:ilvl w:val="0"/>
          <w:numId w:val="27"/>
        </w:numPr>
        <w:rPr>
          <w:rFonts w:ascii="Arial" w:cs="Arial" w:eastAsia="Arial" w:hAnsi="Arial"/>
          <w:sz w:val="16"/>
          <w:szCs w:val="16"/>
          <w:color w:val="071D49"/>
        </w:rPr>
      </w:pPr>
      <w:r>
        <w:rPr>
          <w:rFonts w:ascii="Arial" w:cs="Arial" w:eastAsia="Arial" w:hAnsi="Arial"/>
          <w:sz w:val="18"/>
          <w:szCs w:val="18"/>
          <w:color w:val="auto"/>
        </w:rPr>
        <w:t>Mr. Freyman’s extensive experience as a leader in the healthcare industry, knowledge of the Allergan businesses, and expertise in complex accounting and financial issues provides the board with significant global industry experience, continuity in oversight of the Allergan businesses, and finance and risk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tabs>
          <w:tab w:leader="none" w:pos="378" w:val="left"/>
          <w:tab w:leader="none" w:pos="2340" w:val="left"/>
        </w:tabs>
        <w:rPr>
          <w:sz w:val="20"/>
          <w:szCs w:val="20"/>
          <w:color w:val="auto"/>
        </w:rPr>
      </w:pPr>
      <w:r>
        <w:rPr>
          <w:rFonts w:ascii="Arial" w:cs="Arial" w:eastAsia="Arial" w:hAnsi="Arial"/>
          <w:sz w:val="18"/>
          <w:szCs w:val="18"/>
          <w:color w:val="auto"/>
        </w:rPr>
        <w:t>14</w:t>
      </w:r>
      <w:r>
        <w:rPr>
          <w:sz w:val="20"/>
          <w:szCs w:val="20"/>
          <w:color w:val="auto"/>
        </w:rPr>
        <w:tab/>
      </w:r>
      <w:r>
        <w:rPr>
          <w:sz w:val="1"/>
          <w:szCs w:val="1"/>
          <w:color w:val="auto"/>
        </w:rPr>
        <w:drawing>
          <wp:inline distT="0" distB="0" distL="0" distR="0">
            <wp:extent cx="874395" cy="1631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b w:val="1"/>
          <w:b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363220</wp:posOffset>
            </wp:positionV>
            <wp:extent cx="5880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20"/>
          </w:cols>
          <w:pgMar w:left="1320" w:top="530" w:right="1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808080"/>
        </w:rPr>
        <w:t>INFORMATION CONCERNING DIRECTOR NOMINEES</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74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74395" cy="87439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2016</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52</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Nominations &amp; Governance and Public Policy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President, United Airlines Holdings, Inc.</w:t>
      </w: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100"/>
        <w:spacing w:after="0" w:line="236" w:lineRule="auto"/>
        <w:rPr>
          <w:sz w:val="20"/>
          <w:szCs w:val="20"/>
          <w:color w:val="auto"/>
        </w:rPr>
      </w:pPr>
      <w:r>
        <w:rPr>
          <w:rFonts w:ascii="Arial" w:cs="Arial" w:eastAsia="Arial" w:hAnsi="Arial"/>
          <w:sz w:val="18"/>
          <w:szCs w:val="18"/>
          <w:color w:val="auto"/>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320" w:hanging="261"/>
        <w:spacing w:after="0" w:line="243" w:lineRule="auto"/>
        <w:tabs>
          <w:tab w:leader="none" w:pos="361" w:val="left"/>
        </w:tabs>
        <w:numPr>
          <w:ilvl w:val="0"/>
          <w:numId w:val="28"/>
        </w:numPr>
        <w:rPr>
          <w:rFonts w:ascii="Arial" w:cs="Arial" w:eastAsia="Arial" w:hAnsi="Arial"/>
          <w:sz w:val="16"/>
          <w:szCs w:val="16"/>
          <w:color w:val="071D49"/>
        </w:rPr>
      </w:pPr>
      <w:r>
        <w:rPr>
          <w:rFonts w:ascii="Arial" w:cs="Arial" w:eastAsia="Arial" w:hAnsi="Arial"/>
          <w:sz w:val="18"/>
          <w:szCs w:val="18"/>
          <w:color w:val="auto"/>
        </w:rPr>
        <w:t>As president and as executive vice president and general counsel for two large public companies with international operations and having served as an acting CEO, Mr. Hart contributes operational and strategic acumen with expertise in risk management, legal strategic matters, government and regulatory affairs, customer and external facing matters, corporate governance,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-530860</wp:posOffset>
            </wp:positionV>
            <wp:extent cx="5871845" cy="522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71845" cy="522605"/>
                    </a:xfrm>
                    <a:prstGeom prst="rect">
                      <a:avLst/>
                    </a:prstGeom>
                    <a:noFill/>
                  </pic:spPr>
                </pic:pic>
              </a:graphicData>
            </a:graphic>
          </wp:anchor>
        </w:drawing>
      </w:r>
    </w:p>
    <w:p>
      <w:pPr>
        <w:spacing w:after="0" w:line="341"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826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74395" cy="8826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64</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and Nominations &amp; Governance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Group President for Resource Industries of Caterpillar Inc.</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40"/>
        <w:spacing w:after="0" w:line="238" w:lineRule="auto"/>
        <w:rPr>
          <w:sz w:val="20"/>
          <w:szCs w:val="20"/>
          <w:color w:val="auto"/>
        </w:rPr>
      </w:pPr>
      <w:r>
        <w:rPr>
          <w:rFonts w:ascii="Arial" w:cs="Arial" w:eastAsia="Arial" w:hAnsi="Arial"/>
          <w:sz w:val="18"/>
          <w:szCs w:val="18"/>
          <w:color w:val="auto"/>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40" w:hanging="261"/>
        <w:spacing w:after="0" w:line="248" w:lineRule="auto"/>
        <w:tabs>
          <w:tab w:leader="none" w:pos="366" w:val="left"/>
        </w:tabs>
        <w:numPr>
          <w:ilvl w:val="0"/>
          <w:numId w:val="29"/>
        </w:numPr>
        <w:rPr>
          <w:rFonts w:ascii="Arial" w:cs="Arial" w:eastAsia="Arial" w:hAnsi="Arial"/>
          <w:sz w:val="18"/>
          <w:szCs w:val="18"/>
          <w:color w:val="071D49"/>
        </w:rPr>
      </w:pPr>
      <w:r>
        <w:rPr>
          <w:rFonts w:ascii="Arial" w:cs="Arial" w:eastAsia="Arial" w:hAnsi="Arial"/>
          <w:sz w:val="18"/>
          <w:szCs w:val="18"/>
          <w:color w:val="auto"/>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17" w:right="1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INFORMATION CONCERNING DIRECTOR NOMINEES</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Class II—Directors whose terms expire in 2023</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-162560</wp:posOffset>
            </wp:positionV>
            <wp:extent cx="891540" cy="8826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91540" cy="8826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71</w:t>
      </w:r>
    </w:p>
    <w:p>
      <w:pPr>
        <w:ind w:left="1720"/>
        <w:spacing w:after="0" w:line="235" w:lineRule="auto"/>
        <w:rPr>
          <w:sz w:val="20"/>
          <w:szCs w:val="20"/>
          <w:color w:val="auto"/>
        </w:rPr>
      </w:pPr>
      <w:r>
        <w:rPr>
          <w:rFonts w:ascii="Arial" w:cs="Arial" w:eastAsia="Arial" w:hAnsi="Arial"/>
          <w:sz w:val="18"/>
          <w:szCs w:val="18"/>
          <w:color w:val="auto"/>
        </w:rPr>
        <w:t>Committees</w:t>
      </w:r>
      <w:r>
        <w:rPr>
          <w:rFonts w:ascii="Arial" w:cs="Arial" w:eastAsia="Arial" w:hAnsi="Arial"/>
          <w:sz w:val="18"/>
          <w:szCs w:val="18"/>
          <w:color w:val="007F91"/>
        </w:rPr>
        <w:t>:</w:t>
      </w:r>
      <w:r>
        <w:rPr>
          <w:rFonts w:ascii="Arial" w:cs="Arial" w:eastAsia="Arial" w:hAnsi="Arial"/>
          <w:sz w:val="18"/>
          <w:szCs w:val="18"/>
          <w:color w:val="auto"/>
        </w:rPr>
        <w:t xml:space="preserve"> </w:t>
      </w:r>
      <w:r>
        <w:rPr>
          <w:rFonts w:ascii="Arial" w:cs="Arial" w:eastAsia="Arial" w:hAnsi="Arial"/>
          <w:sz w:val="18"/>
          <w:szCs w:val="18"/>
          <w:b w:val="1"/>
          <w:bCs w:val="1"/>
          <w:color w:val="071D49"/>
        </w:rPr>
        <w:t>Nominations &amp; Governance and Public Policy</w:t>
      </w:r>
    </w:p>
    <w:p>
      <w:pPr>
        <w:ind w:left="1720"/>
        <w:spacing w:after="0" w:line="235" w:lineRule="auto"/>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Ensign Professor of Medicine and Physiology, Professor of Internal</w:t>
      </w:r>
    </w:p>
    <w:p>
      <w:pPr>
        <w:ind w:left="1720" w:right="340"/>
        <w:spacing w:after="0" w:line="246" w:lineRule="auto"/>
        <w:rPr>
          <w:sz w:val="20"/>
          <w:szCs w:val="20"/>
          <w:color w:val="auto"/>
        </w:rPr>
      </w:pPr>
      <w:r>
        <w:rPr>
          <w:rFonts w:ascii="Arial" w:cs="Arial" w:eastAsia="Arial" w:hAnsi="Arial"/>
          <w:sz w:val="18"/>
          <w:szCs w:val="18"/>
          <w:b w:val="1"/>
          <w:bCs w:val="1"/>
          <w:color w:val="071D49"/>
        </w:rPr>
        <w:t>Medicine and Cellular and Molecular Physiology, and Former Dean of Yale School of Medicine</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120"/>
        <w:spacing w:after="0" w:line="237" w:lineRule="auto"/>
        <w:rPr>
          <w:sz w:val="20"/>
          <w:szCs w:val="20"/>
          <w:color w:val="auto"/>
        </w:rPr>
      </w:pPr>
      <w:r>
        <w:rPr>
          <w:rFonts w:ascii="Arial" w:cs="Arial" w:eastAsia="Arial" w:hAnsi="Arial"/>
          <w:sz w:val="18"/>
          <w:szCs w:val="18"/>
          <w:color w:val="auto"/>
        </w:rPr>
        <w:t>Dr. Alpern is Ensign Professor of Medicine and Physiology and Professor of Internal Medicine and Cellular and Molecular Physiology at Yale School of Medicine. Dr. Alpern served as the Dean of Yale School of Medicine and Ensign Professor of Medicine and Professor of Internal Medicine at Yale School of Medicine from June 2004 to January 2020. From July 1998 to May 2004, Dr. Alpern was the Dean of The University of Texas Southwestern Medical Center. Dr. Alpern served on the board of Yale-New Haven Hospital from October 2005 to January 2020. Dr. Alpern also serves as a director of Abbott Laboratories and Tricida, Inc.</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hanging="261"/>
        <w:spacing w:after="0"/>
        <w:tabs>
          <w:tab w:leader="none" w:pos="366" w:val="left"/>
        </w:tabs>
        <w:numPr>
          <w:ilvl w:val="0"/>
          <w:numId w:val="30"/>
        </w:numPr>
        <w:rPr>
          <w:rFonts w:ascii="Arial" w:cs="Arial" w:eastAsia="Arial" w:hAnsi="Arial"/>
          <w:sz w:val="18"/>
          <w:szCs w:val="18"/>
          <w:color w:val="071D49"/>
        </w:rPr>
      </w:pPr>
      <w:r>
        <w:rPr>
          <w:rFonts w:ascii="Arial" w:cs="Arial" w:eastAsia="Arial" w:hAnsi="Arial"/>
          <w:sz w:val="18"/>
          <w:szCs w:val="18"/>
          <w:color w:val="auto"/>
        </w:rPr>
        <w:t>Through his position as Ensign Professor of Medicine and Physiology, Professor of Internal Medicine and Cellular and Molecular Physiology, as well as his previous service as Dean of Yale School of Medicine, Dean of The University of Texas Southwestern Medical Center, and on the board of Yale-New Haven Hospital, Dr. Alpern contributes valuable insights to the board through his medical and scientific expertise and his knowledge of the health care environment and the scientific nature of AbbVie’s key research and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-787400</wp:posOffset>
            </wp:positionV>
            <wp:extent cx="5871845" cy="7797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71845" cy="779780"/>
                    </a:xfrm>
                    <a:prstGeom prst="rect">
                      <a:avLst/>
                    </a:prstGeom>
                    <a:noFill/>
                  </pic:spPr>
                </pic:pic>
              </a:graphicData>
            </a:graphic>
          </wp:anchor>
        </w:drawing>
      </w:r>
    </w:p>
    <w:p>
      <w:pPr>
        <w:spacing w:after="0" w:line="342"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31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74395" cy="8318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2017</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64</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and Public Policy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President, Chevron Asia Pacific Exploration and Production</w:t>
      </w:r>
    </w:p>
    <w:p>
      <w:pPr>
        <w:spacing w:after="0" w:line="33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20"/>
        <w:spacing w:after="0" w:line="238" w:lineRule="auto"/>
        <w:rPr>
          <w:sz w:val="20"/>
          <w:szCs w:val="20"/>
          <w:color w:val="auto"/>
        </w:rPr>
      </w:pPr>
      <w:r>
        <w:rPr>
          <w:rFonts w:ascii="Arial" w:cs="Arial" w:eastAsia="Arial" w:hAnsi="Arial"/>
          <w:sz w:val="18"/>
          <w:szCs w:val="18"/>
          <w:color w:val="auto"/>
        </w:rPr>
        <w:t>Ms. Meyer is president of Melody Meyer Energy, LLC, a private consulting firm, a position she has held since June 2016. From March 2011 to April 2016, Ms. Meyer served as the president of Chevron Asia Pacific Exploration and Production Company. She previously served as president of Chevron Energy Technology Company from 2008 to 2011, in addition to various other roles over her thirty-seven year career at Chevron. Ms. Meyer is also a director at bp p.I.c. and NOV, Inc.</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hanging="261"/>
        <w:spacing w:after="0" w:line="248" w:lineRule="auto"/>
        <w:tabs>
          <w:tab w:leader="none" w:pos="366" w:val="left"/>
        </w:tabs>
        <w:numPr>
          <w:ilvl w:val="0"/>
          <w:numId w:val="31"/>
        </w:numPr>
        <w:rPr>
          <w:rFonts w:ascii="Arial" w:cs="Arial" w:eastAsia="Arial" w:hAnsi="Arial"/>
          <w:sz w:val="18"/>
          <w:szCs w:val="18"/>
          <w:color w:val="071D49"/>
        </w:rPr>
      </w:pPr>
      <w:r>
        <w:rPr>
          <w:rFonts w:ascii="Arial" w:cs="Arial" w:eastAsia="Arial" w:hAnsi="Arial"/>
          <w:sz w:val="18"/>
          <w:szCs w:val="18"/>
          <w:color w:val="auto"/>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874395" cy="1625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808080"/>
        </w:rPr>
        <w:t>INFORMATION CONCERNING DIRECTOR NOMINEES</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572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74395" cy="8572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68</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and Compensation</w:t>
      </w:r>
    </w:p>
    <w:p>
      <w:pPr>
        <w:ind w:left="1720"/>
        <w:spacing w:after="0" w:line="235" w:lineRule="auto"/>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Former Chairman of the Board and Chief Executive Officer of</w:t>
      </w:r>
    </w:p>
    <w:p>
      <w:pPr>
        <w:ind w:left="1720"/>
        <w:spacing w:after="0"/>
        <w:rPr>
          <w:sz w:val="20"/>
          <w:szCs w:val="20"/>
          <w:color w:val="auto"/>
        </w:rPr>
      </w:pPr>
      <w:r>
        <w:rPr>
          <w:rFonts w:ascii="Arial" w:cs="Arial" w:eastAsia="Arial" w:hAnsi="Arial"/>
          <w:sz w:val="18"/>
          <w:szCs w:val="18"/>
          <w:b w:val="1"/>
          <w:bCs w:val="1"/>
          <w:color w:val="071D49"/>
        </w:rPr>
        <w:t>Northern Trust Corporation and The Northern Trust Company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40"/>
        <w:spacing w:after="0" w:line="257" w:lineRule="auto"/>
        <w:rPr>
          <w:sz w:val="20"/>
          <w:szCs w:val="20"/>
          <w:color w:val="auto"/>
        </w:rPr>
      </w:pPr>
      <w:r>
        <w:rPr>
          <w:rFonts w:ascii="Arial" w:cs="Arial" w:eastAsia="Arial" w:hAnsi="Arial"/>
          <w:sz w:val="17"/>
          <w:szCs w:val="17"/>
          <w:color w:val="auto"/>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40" w:hanging="261"/>
        <w:spacing w:after="0" w:line="248" w:lineRule="auto"/>
        <w:tabs>
          <w:tab w:leader="none" w:pos="366" w:val="left"/>
        </w:tabs>
        <w:numPr>
          <w:ilvl w:val="0"/>
          <w:numId w:val="32"/>
        </w:numPr>
        <w:rPr>
          <w:rFonts w:ascii="Arial" w:cs="Arial" w:eastAsia="Arial" w:hAnsi="Arial"/>
          <w:sz w:val="18"/>
          <w:szCs w:val="18"/>
          <w:color w:val="071D49"/>
        </w:rPr>
      </w:pPr>
      <w:r>
        <w:rPr>
          <w:rFonts w:ascii="Arial" w:cs="Arial" w:eastAsia="Arial" w:hAnsi="Arial"/>
          <w:sz w:val="18"/>
          <w:szCs w:val="18"/>
          <w:color w:val="auto"/>
        </w:rPr>
        <w:t>As former chairman and chief executive officer of Northern Trust Corporation and The Northern Trust Company, Mr. Waddell contributes broad financial services experience with a strong record of leadership in a highly regulated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32"/>
          <w:szCs w:val="32"/>
          <w:color w:val="auto"/>
        </w:rPr>
        <w:t>Class III—Directors whose terms expire in 2024</w:t>
      </w:r>
    </w:p>
    <w:p>
      <w:pPr>
        <w:spacing w:after="0" w:line="151"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826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74395" cy="8826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61</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Compensation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President, Austin Investment Advisors</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120"/>
        <w:spacing w:after="0" w:line="236" w:lineRule="auto"/>
        <w:rPr>
          <w:sz w:val="20"/>
          <w:szCs w:val="20"/>
          <w:color w:val="auto"/>
        </w:rPr>
      </w:pPr>
      <w:r>
        <w:rPr>
          <w:rFonts w:ascii="Arial" w:cs="Arial" w:eastAsia="Arial" w:hAnsi="Arial"/>
          <w:sz w:val="18"/>
          <w:szCs w:val="18"/>
          <w:color w:val="auto"/>
        </w:rPr>
        <w:t>Ms. Austin is president of Austin Investment Advisors, a private investment and consulting firm, and chairs the U.S. Mid-market Investment Advisory Committee of EQT Partners.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Abbott Laboratories, Crowdstrike, Inc., Freshworks, Inc., and Verizon Communications Inc. Ms. Austin has notified Abbott of her intent to resign from its Board of Directors at the company’s next annual meeting of stockholders, currently planned for April 2022. Ms. Austin previously served as a director of Teledyne Technologies, Inc, from 2006 to 2021, Target Corporation from 2002 to 2020, and Telefonaktiebolaget LM Ericsson from 2008 to 2016.</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280" w:hanging="261"/>
        <w:spacing w:after="0" w:line="248" w:lineRule="auto"/>
        <w:tabs>
          <w:tab w:leader="none" w:pos="366" w:val="left"/>
        </w:tabs>
        <w:numPr>
          <w:ilvl w:val="0"/>
          <w:numId w:val="33"/>
        </w:numPr>
        <w:rPr>
          <w:rFonts w:ascii="Arial" w:cs="Arial" w:eastAsia="Arial" w:hAnsi="Arial"/>
          <w:sz w:val="18"/>
          <w:szCs w:val="18"/>
          <w:color w:val="071D49"/>
        </w:rPr>
      </w:pPr>
      <w:r>
        <w:rPr>
          <w:rFonts w:ascii="Arial" w:cs="Arial" w:eastAsia="Arial" w:hAnsi="Arial"/>
          <w:sz w:val="18"/>
          <w:szCs w:val="18"/>
          <w:color w:val="auto"/>
        </w:rPr>
        <w:t>Through her extensive management and operating roles, including her financial roles, Ms. Austin contributes significant oversight and leadership experience to the board, including financial expertise and knowledge of financial statements, corporate finance, and accounting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-406400</wp:posOffset>
            </wp:positionV>
            <wp:extent cx="5871845" cy="394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718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-556895</wp:posOffset>
            </wp:positionV>
            <wp:extent cx="874395"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17" w:right="1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INFORMATION CONCERNING DIRECTOR NOMINEES</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-162560</wp:posOffset>
            </wp:positionV>
            <wp:extent cx="857250" cy="848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0" cy="84899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68</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Chairman of the Board and Chief Executive Officer, AbbVie Inc.</w:t>
      </w:r>
    </w:p>
    <w:p>
      <w:pPr>
        <w:spacing w:after="0" w:line="200" w:lineRule="exact"/>
        <w:rPr>
          <w:sz w:val="20"/>
          <w:szCs w:val="20"/>
          <w:color w:val="auto"/>
        </w:rPr>
      </w:pPr>
    </w:p>
    <w:p>
      <w:pPr>
        <w:spacing w:after="0" w:line="36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spacing w:after="0" w:line="251" w:lineRule="auto"/>
        <w:rPr>
          <w:sz w:val="20"/>
          <w:szCs w:val="20"/>
          <w:color w:val="auto"/>
        </w:rPr>
      </w:pPr>
      <w:r>
        <w:rPr>
          <w:rFonts w:ascii="Arial" w:cs="Arial" w:eastAsia="Arial" w:hAnsi="Arial"/>
          <w:sz w:val="17"/>
          <w:szCs w:val="17"/>
          <w:color w:val="auto"/>
        </w:rPr>
        <w:t>Mr. Gonzalez is the chairman and chief executive officer of AbbVie, a position he has held since 2013.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vice president and president of Abbott’s Health Systems Division; and divisional vice president and general manager for Abbott’s Diagnostics Operations in the United States and Canada.</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240" w:hanging="261"/>
        <w:spacing w:after="0"/>
        <w:tabs>
          <w:tab w:leader="none" w:pos="366" w:val="left"/>
        </w:tabs>
        <w:numPr>
          <w:ilvl w:val="0"/>
          <w:numId w:val="34"/>
        </w:numPr>
        <w:rPr>
          <w:rFonts w:ascii="Arial" w:cs="Arial" w:eastAsia="Arial" w:hAnsi="Arial"/>
          <w:sz w:val="18"/>
          <w:szCs w:val="18"/>
          <w:color w:val="071D49"/>
        </w:rPr>
      </w:pPr>
      <w:r>
        <w:rPr>
          <w:rFonts w:ascii="Arial" w:cs="Arial" w:eastAsia="Arial" w:hAnsi="Arial"/>
          <w:sz w:val="18"/>
          <w:szCs w:val="18"/>
          <w:color w:val="auto"/>
        </w:rPr>
        <w:t>As a result of his service since 2013 as AbbVie’s chairman and chief executive officer and his more than 30-year career at Abbott, Mr. Gonzalez has developed valuable business, management, and leadership experience, as well as extensive knowledge of AbbVie and its global operations.</w:t>
      </w:r>
    </w:p>
    <w:p>
      <w:pPr>
        <w:ind w:left="400" w:right="680" w:hanging="261"/>
        <w:spacing w:after="0" w:line="261" w:lineRule="auto"/>
        <w:tabs>
          <w:tab w:leader="none" w:pos="366" w:val="left"/>
        </w:tabs>
        <w:numPr>
          <w:ilvl w:val="0"/>
          <w:numId w:val="34"/>
        </w:numPr>
        <w:rPr>
          <w:rFonts w:ascii="Arial" w:cs="Arial" w:eastAsia="Arial" w:hAnsi="Arial"/>
          <w:sz w:val="18"/>
          <w:szCs w:val="18"/>
          <w:color w:val="071D49"/>
        </w:rPr>
      </w:pPr>
      <w:r>
        <w:rPr>
          <w:rFonts w:ascii="Arial" w:cs="Arial" w:eastAsia="Arial" w:hAnsi="Arial"/>
          <w:sz w:val="18"/>
          <w:szCs w:val="18"/>
          <w:color w:val="auto"/>
        </w:rPr>
        <w:t>Mr. Gonzalez’s experience and knowledge enable him to contribute to AbbVie’s board key insights into strategic, management, and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-678815</wp:posOffset>
            </wp:positionV>
            <wp:extent cx="5871845" cy="660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71845" cy="660400"/>
                    </a:xfrm>
                    <a:prstGeom prst="rect">
                      <a:avLst/>
                    </a:prstGeom>
                    <a:noFill/>
                  </pic:spPr>
                </pic:pic>
              </a:graphicData>
            </a:graphic>
          </wp:anchor>
        </w:drawing>
      </w:r>
    </w:p>
    <w:p>
      <w:pPr>
        <w:spacing w:after="0" w:line="324"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826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74395" cy="8826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2018</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69</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Nominations &amp; Governance and Public Policy</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President of Chevron Pipe Line Company</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spacing w:after="0" w:line="238" w:lineRule="auto"/>
        <w:rPr>
          <w:sz w:val="20"/>
          <w:szCs w:val="20"/>
          <w:color w:val="auto"/>
        </w:rPr>
      </w:pPr>
      <w:r>
        <w:rPr>
          <w:rFonts w:ascii="Arial" w:cs="Arial" w:eastAsia="Arial" w:hAnsi="Arial"/>
          <w:sz w:val="18"/>
          <w:szCs w:val="18"/>
          <w:color w:val="auto"/>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currently serves on the board of directors at Black Hills Corporation and MSA Safety Incorporated. Ms. Roberts served as a director of Enbridge, Inc. from 2015 to 2018.</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440" w:hanging="261"/>
        <w:spacing w:after="0" w:line="242" w:lineRule="auto"/>
        <w:tabs>
          <w:tab w:leader="none" w:pos="366" w:val="left"/>
        </w:tabs>
        <w:numPr>
          <w:ilvl w:val="0"/>
          <w:numId w:val="35"/>
        </w:numPr>
        <w:rPr>
          <w:rFonts w:ascii="Arial" w:cs="Arial" w:eastAsia="Arial" w:hAnsi="Arial"/>
          <w:sz w:val="18"/>
          <w:szCs w:val="18"/>
          <w:color w:val="071D49"/>
        </w:rPr>
      </w:pPr>
      <w:r>
        <w:rPr>
          <w:rFonts w:ascii="Arial" w:cs="Arial" w:eastAsia="Arial" w:hAnsi="Arial"/>
          <w:sz w:val="18"/>
          <w:szCs w:val="18"/>
          <w:color w:val="auto"/>
        </w:rPr>
        <w:t>Ms. Roberts brings management, operational, safety, and strategy development expertise with a scientific background and extensive global experience at Chevron.</w:t>
      </w:r>
    </w:p>
    <w:p>
      <w:pPr>
        <w:spacing w:after="0" w:line="1" w:lineRule="exact"/>
        <w:rPr>
          <w:rFonts w:ascii="Arial" w:cs="Arial" w:eastAsia="Arial" w:hAnsi="Arial"/>
          <w:sz w:val="18"/>
          <w:szCs w:val="18"/>
          <w:color w:val="071D49"/>
        </w:rPr>
      </w:pPr>
    </w:p>
    <w:p>
      <w:pPr>
        <w:ind w:left="400" w:right="140" w:hanging="261"/>
        <w:spacing w:after="0" w:line="261" w:lineRule="auto"/>
        <w:tabs>
          <w:tab w:leader="none" w:pos="366" w:val="left"/>
        </w:tabs>
        <w:numPr>
          <w:ilvl w:val="0"/>
          <w:numId w:val="35"/>
        </w:numPr>
        <w:rPr>
          <w:rFonts w:ascii="Arial" w:cs="Arial" w:eastAsia="Arial" w:hAnsi="Arial"/>
          <w:sz w:val="18"/>
          <w:szCs w:val="18"/>
          <w:color w:val="071D49"/>
        </w:rPr>
      </w:pPr>
      <w:r>
        <w:rPr>
          <w:rFonts w:ascii="Arial" w:cs="Arial" w:eastAsia="Arial" w:hAnsi="Arial"/>
          <w:sz w:val="18"/>
          <w:szCs w:val="18"/>
          <w:color w:val="auto"/>
        </w:rPr>
        <w:t>She provides an informed perspective to the board on regulatory and operational matters faced by a complex international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-550545</wp:posOffset>
            </wp:positionV>
            <wp:extent cx="5871845" cy="531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718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874395" cy="1625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80"/>
          </w:cols>
          <w:pgMar w:left="1320" w:top="530" w:right="1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color w:val="808080"/>
        </w:rPr>
        <w:t>INFORMATION CONCERNING DIRECTOR NOMINEES</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25"/>
          <w:szCs w:val="25"/>
          <w:b w:val="1"/>
          <w:bCs w:val="1"/>
          <w:color w:val="071D49"/>
        </w:rPr>
        <w:t>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-162560</wp:posOffset>
            </wp:positionV>
            <wp:extent cx="874395" cy="883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74395" cy="883285"/>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Director Since: </w:t>
      </w:r>
      <w:r>
        <w:rPr>
          <w:rFonts w:ascii="Arial" w:cs="Arial" w:eastAsia="Arial" w:hAnsi="Arial"/>
          <w:sz w:val="18"/>
          <w:szCs w:val="18"/>
          <w:b w:val="1"/>
          <w:bCs w:val="1"/>
          <w:color w:val="071D49"/>
        </w:rPr>
        <w:t>2013</w:t>
      </w:r>
    </w:p>
    <w:p>
      <w:pPr>
        <w:ind w:left="1720"/>
        <w:spacing w:after="0" w:line="234" w:lineRule="auto"/>
        <w:rPr>
          <w:sz w:val="20"/>
          <w:szCs w:val="20"/>
          <w:color w:val="auto"/>
        </w:rPr>
      </w:pPr>
      <w:r>
        <w:rPr>
          <w:rFonts w:ascii="Arial" w:cs="Arial" w:eastAsia="Arial" w:hAnsi="Arial"/>
          <w:sz w:val="18"/>
          <w:szCs w:val="18"/>
          <w:color w:val="auto"/>
        </w:rPr>
        <w:t xml:space="preserve">Age: </w:t>
      </w:r>
      <w:r>
        <w:rPr>
          <w:rFonts w:ascii="Arial" w:cs="Arial" w:eastAsia="Arial" w:hAnsi="Arial"/>
          <w:sz w:val="18"/>
          <w:szCs w:val="18"/>
          <w:b w:val="1"/>
          <w:bCs w:val="1"/>
          <w:color w:val="071D49"/>
        </w:rPr>
        <w:t>73</w:t>
      </w:r>
    </w:p>
    <w:p>
      <w:pPr>
        <w:ind w:left="1720"/>
        <w:spacing w:after="0" w:line="235" w:lineRule="auto"/>
        <w:rPr>
          <w:sz w:val="20"/>
          <w:szCs w:val="20"/>
          <w:color w:val="auto"/>
        </w:rPr>
      </w:pPr>
      <w:r>
        <w:rPr>
          <w:rFonts w:ascii="Arial" w:cs="Arial" w:eastAsia="Arial" w:hAnsi="Arial"/>
          <w:sz w:val="18"/>
          <w:szCs w:val="18"/>
          <w:color w:val="auto"/>
        </w:rPr>
        <w:t xml:space="preserve">Committees: </w:t>
      </w:r>
      <w:r>
        <w:rPr>
          <w:rFonts w:ascii="Arial" w:cs="Arial" w:eastAsia="Arial" w:hAnsi="Arial"/>
          <w:sz w:val="18"/>
          <w:szCs w:val="18"/>
          <w:b w:val="1"/>
          <w:bCs w:val="1"/>
          <w:color w:val="071D49"/>
        </w:rPr>
        <w:t>Audit, Compensation, Nominations &amp; Governance, and Public Policy</w:t>
      </w:r>
    </w:p>
    <w:p>
      <w:pPr>
        <w:ind w:left="1720"/>
        <w:spacing w:after="0" w:line="235" w:lineRule="auto"/>
        <w:rPr>
          <w:sz w:val="20"/>
          <w:szCs w:val="20"/>
          <w:color w:val="auto"/>
        </w:rPr>
      </w:pPr>
      <w:r>
        <w:rPr>
          <w:rFonts w:ascii="Arial" w:cs="Arial" w:eastAsia="Arial" w:hAnsi="Arial"/>
          <w:sz w:val="18"/>
          <w:szCs w:val="18"/>
          <w:color w:val="auto"/>
        </w:rPr>
        <w:t xml:space="preserve">Primary Occupation: </w:t>
      </w:r>
      <w:r>
        <w:rPr>
          <w:rFonts w:ascii="Arial" w:cs="Arial" w:eastAsia="Arial" w:hAnsi="Arial"/>
          <w:sz w:val="18"/>
          <w:szCs w:val="18"/>
          <w:b w:val="1"/>
          <w:bCs w:val="1"/>
          <w:color w:val="071D49"/>
        </w:rPr>
        <w:t>Retired Chairman and Chief Executive Officer of the UAL</w:t>
      </w:r>
    </w:p>
    <w:p>
      <w:pPr>
        <w:ind w:left="1720"/>
        <w:spacing w:after="0" w:line="235" w:lineRule="auto"/>
        <w:rPr>
          <w:sz w:val="20"/>
          <w:szCs w:val="20"/>
          <w:color w:val="auto"/>
        </w:rPr>
      </w:pPr>
      <w:r>
        <w:rPr>
          <w:rFonts w:ascii="Arial" w:cs="Arial" w:eastAsia="Arial" w:hAnsi="Arial"/>
          <w:sz w:val="18"/>
          <w:szCs w:val="18"/>
          <w:b w:val="1"/>
          <w:bCs w:val="1"/>
          <w:color w:val="071D49"/>
        </w:rPr>
        <w:t>Corporation</w:t>
      </w:r>
    </w:p>
    <w:p>
      <w:pPr>
        <w:ind w:left="1720"/>
        <w:spacing w:after="0"/>
        <w:rPr>
          <w:sz w:val="20"/>
          <w:szCs w:val="20"/>
          <w:color w:val="auto"/>
        </w:rPr>
      </w:pPr>
      <w:r>
        <w:rPr>
          <w:rFonts w:ascii="Arial" w:cs="Arial" w:eastAsia="Arial" w:hAnsi="Arial"/>
          <w:sz w:val="18"/>
          <w:szCs w:val="18"/>
          <w:b w:val="1"/>
          <w:bCs w:val="1"/>
          <w:color w:val="071D49"/>
        </w:rPr>
        <w:t>Lead Independent Director</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Business Experience:</w:t>
      </w:r>
    </w:p>
    <w:p>
      <w:pPr>
        <w:spacing w:after="0" w:line="13" w:lineRule="exact"/>
        <w:rPr>
          <w:sz w:val="20"/>
          <w:szCs w:val="20"/>
          <w:color w:val="auto"/>
        </w:rPr>
      </w:pPr>
    </w:p>
    <w:p>
      <w:pPr>
        <w:ind w:left="140" w:right="20"/>
        <w:spacing w:after="0" w:line="236" w:lineRule="auto"/>
        <w:rPr>
          <w:sz w:val="20"/>
          <w:szCs w:val="20"/>
          <w:color w:val="auto"/>
        </w:rPr>
      </w:pPr>
      <w:r>
        <w:rPr>
          <w:rFonts w:ascii="Arial" w:cs="Arial" w:eastAsia="Arial" w:hAnsi="Arial"/>
          <w:sz w:val="18"/>
          <w:szCs w:val="18"/>
          <w:color w:val="auto"/>
        </w:rPr>
        <w:t>Mr. Tilton was chairman of the Midwest for JPMorgan Chase &amp; Co. from 2011 until his retirement in 2014. From October 2010 to December 2012, Mr. Tilton also served as the non-executive chairman of the board of United Continental Holdings, Inc. From September 2002 to October 2010, he served as chairman, president and chief executive officer of UAL Corporation, and chairman and chief executive officer of United Air Lines, Inc., its wholly owned subsidiary. Prior to becoming the vice chairman of Chevron Texaco following the merger of Texaco Inc. and Chevron Corp., Mr. Tilton enjoyed a 30-year multi-disciplinary career with Texaco Inc., culminating in his election as chairman and chief executive officer. Mr. Tilton is also a director of Abbott Laboratories and Phillips 66. Mr. Tilton also served on the board of directors of Lincoln National Corporation from 2002 to 2007, of TXU Corporation from 2005 to 2007, of Corning Incorporated from 2010 to 2012, and of United Continental Holdings, Inc. from 2010 to 2012.</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Key Contributions to the Board:</w:t>
      </w:r>
    </w:p>
    <w:p>
      <w:pPr>
        <w:spacing w:after="0" w:line="13" w:lineRule="exact"/>
        <w:rPr>
          <w:sz w:val="20"/>
          <w:szCs w:val="20"/>
          <w:color w:val="auto"/>
        </w:rPr>
      </w:pPr>
    </w:p>
    <w:p>
      <w:pPr>
        <w:ind w:left="400" w:right="40" w:hanging="261"/>
        <w:spacing w:after="0" w:line="251" w:lineRule="auto"/>
        <w:tabs>
          <w:tab w:leader="none" w:pos="366" w:val="left"/>
        </w:tabs>
        <w:numPr>
          <w:ilvl w:val="0"/>
          <w:numId w:val="36"/>
        </w:numPr>
        <w:rPr>
          <w:rFonts w:ascii="Arial" w:cs="Arial" w:eastAsia="Arial" w:hAnsi="Arial"/>
          <w:sz w:val="17"/>
          <w:szCs w:val="17"/>
          <w:color w:val="071D49"/>
        </w:rPr>
      </w:pPr>
      <w:r>
        <w:rPr>
          <w:rFonts w:ascii="Arial" w:cs="Arial" w:eastAsia="Arial" w:hAnsi="Arial"/>
          <w:sz w:val="17"/>
          <w:szCs w:val="17"/>
          <w:color w:val="auto"/>
        </w:rPr>
        <w:t>As chairman of the Midwest for JPMorgan Chase &amp; Co. and having previously served as non-executive chairman of the board of United Continental Holdings, Inc., and chairman, president, and chief executive officer of UAL Corporation and United Air Lines, vice chairman of Chevron Texaco and as interim chairman of Dynegy, Inc., Mr. Tilton acquired strong management experience overseeing complex multinational businesses operating in highly regulated industries, as well as expertise in finance and capital markets matters.</w:t>
      </w:r>
    </w:p>
    <w:p>
      <w:pPr>
        <w:spacing w:after="0" w:line="3" w:lineRule="exact"/>
        <w:rPr>
          <w:rFonts w:ascii="Arial" w:cs="Arial" w:eastAsia="Arial" w:hAnsi="Arial"/>
          <w:sz w:val="17"/>
          <w:szCs w:val="17"/>
          <w:color w:val="071D49"/>
        </w:rPr>
      </w:pPr>
    </w:p>
    <w:p>
      <w:pPr>
        <w:ind w:left="400" w:right="140" w:hanging="261"/>
        <w:spacing w:after="0" w:line="261" w:lineRule="auto"/>
        <w:tabs>
          <w:tab w:leader="none" w:pos="366" w:val="left"/>
        </w:tabs>
        <w:numPr>
          <w:ilvl w:val="0"/>
          <w:numId w:val="36"/>
        </w:numPr>
        <w:rPr>
          <w:rFonts w:ascii="Arial" w:cs="Arial" w:eastAsia="Arial" w:hAnsi="Arial"/>
          <w:sz w:val="18"/>
          <w:szCs w:val="18"/>
          <w:color w:val="071D49"/>
        </w:rPr>
      </w:pPr>
      <w:r>
        <w:rPr>
          <w:rFonts w:ascii="Arial" w:cs="Arial" w:eastAsia="Arial" w:hAnsi="Arial"/>
          <w:sz w:val="18"/>
          <w:szCs w:val="18"/>
          <w:color w:val="auto"/>
        </w:rPr>
        <w:t>His experience as non-executive chairman of the board of United Continental Holdings, Inc. also enhances his contributions as AbbVie’s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-935990</wp:posOffset>
            </wp:positionV>
            <wp:extent cx="5871845" cy="917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718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17" w:right="1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6"/>
          <w:szCs w:val="36"/>
          <w:color w:val="071D49"/>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88073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4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board of directors held nine meetings in 2021. All directors attended one-hundred percent of the board and committee meetings in 2021. AbbVie encourages its board members to attend the annual stockholder meeting. All of AbbVie’s directors attended the 2021 annual stockholder meeting.</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determined that each of the following individuals is independent in accordance with the New York Stock Exchange (NYSE) listing standards: Dr. Alpern, Ms. Austin, Mr. Burnside, Mr. Freyman, Mr. Hart, Mr. Liddy, Ms. Meyer, Mr. Rapp, Ms. Roberts, Mr. Tilton,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This also included consideration of the fact that some of the directors serve on the board of Abbott Laboratories (Abbott), AbbVie’s former parent. In making its determination, the board relied on both information provided by the directors and information developed internally by AbbVie.</w:t>
      </w:r>
    </w:p>
    <w:p>
      <w:pPr>
        <w:spacing w:after="0" w:line="9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board has risk oversight responsibility for AbbVie and administers this responsibility both directly and with assistance from its committees. The board reviews enterprise risks and discusses them with our senior management on a regular basis. AbbVie’s risk management program focuses on issues relevant to AbbVie’s business, reputation, and strategy, including but not limited to pipeline advancement, healthcare industry dynamics such as pricing and patient access, manufacturing, regulatory and compliance matters, and others. The board and its committees regularly review environmental, social, and governance (ESG) topics that are material to AbbVie. For more details about committee responsibilities and oversight, please see the committee discussion on pages 23-25.</w:t>
      </w:r>
    </w:p>
    <w:p>
      <w:pPr>
        <w:spacing w:after="0" w:line="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Management succession planning is a key responsibility and area of focus for the board. The full board regularly reviews both short- and long-term succession plans for the CEO and other executive officers. This review, for which the lead independent director takes a leadership role, includes a discussion of the skillset needed for these executive roles, the timeline for any potential executive transitions, the leadership pipeline and their development plans, and the diversity of the leadership pipeline. Directors regularly interact with succession candidates. The board also reviews its own succession planning, including for committee chairs and the lead independent director.</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(2) oversight of the company’s equity, equality, diversity, and inclusion strategy, (3) oversight of employee health and safety data and priorities, (4) reviewing the company’s commitment to pay equity and results from the equity analysis to ensure this commitment is met, and (5) oversight of the company’s ESG strategy, including the human capital management components. The board also interacts with employees at various levels of seniority, not solely on the executive leadership team, which facilitates a better understanding of the company’s culture.</w:t>
      </w:r>
    </w:p>
    <w:p>
      <w:pPr>
        <w:spacing w:after="0" w:line="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2021, the board continued to spend a significant amount of time overseeing the company’s ongoing responses to the COVID-19 pandemic, including the impact on AbbVie’s employees and the availability of resources to support employees’ health and well-being. The board also reviewed the pandemic’s impact on pipeline and marketed products, as well as overall company strategy.</w:t>
      </w:r>
    </w:p>
    <w:p>
      <w:pPr>
        <w:spacing w:after="0" w:line="9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board has determined that the current leadership structure, in which the offices of chairman of the board and chief executive officer are held by one individual with a board appointed lead independent director, ensures the appropriate level of oversight, independence, and responsibility is applied to all board decisions, including risk oversight, and is in the best interests of AbbVie and its stockholders. The lead independent director is chosen by and from the independent members of the board of directors. The board regularly reviews its leadership structure, as well as feedback from stockholders on this topic.</w:t>
      </w:r>
    </w:p>
    <w:p>
      <w:pPr>
        <w:spacing w:after="0" w:line="200" w:lineRule="exact"/>
        <w:rPr>
          <w:sz w:val="20"/>
          <w:szCs w:val="20"/>
          <w:color w:val="auto"/>
        </w:rPr>
      </w:pPr>
    </w:p>
    <w:p>
      <w:pPr>
        <w:spacing w:after="0" w:line="328"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20</w:t>
      </w:r>
      <w:r>
        <w:rPr>
          <w:sz w:val="20"/>
          <w:szCs w:val="20"/>
          <w:color w:val="auto"/>
        </w:rPr>
        <w:tab/>
      </w:r>
      <w:r>
        <w:rPr>
          <w:sz w:val="1"/>
          <w:szCs w:val="1"/>
          <w:color w:val="auto"/>
        </w:rPr>
        <w:drawing>
          <wp:inline distT="0" distB="0" distL="0" distR="0">
            <wp:extent cx="874395" cy="1625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808080"/>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871845" cy="26149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71845" cy="2614930"/>
                    </a:xfrm>
                    <a:prstGeom prst="rect">
                      <a:avLst/>
                    </a:prstGeom>
                    <a:noFill/>
                  </pic:spPr>
                </pic:pic>
              </a:graphicData>
            </a:graphic>
          </wp:anchor>
        </w:drawing>
      </w:r>
    </w:p>
    <w:p>
      <w:pPr>
        <w:spacing w:after="0" w:line="210" w:lineRule="exact"/>
        <w:rPr>
          <w:sz w:val="20"/>
          <w:szCs w:val="20"/>
          <w:color w:val="auto"/>
        </w:rPr>
      </w:pPr>
    </w:p>
    <w:p>
      <w:pPr>
        <w:ind w:left="100" w:right="860"/>
        <w:spacing w:after="0" w:line="259"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has robust and well-defined responsibilities that provide our board with significant leadership and oversight:</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leads the CEO succession planning process</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reviews and guides agenda items for board</w:t>
            </w:r>
          </w:p>
        </w:tc>
      </w:tr>
      <w:tr>
        <w:trPr>
          <w:trHeight w:val="209"/>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facilitates communication with the board and</w:t>
            </w:r>
          </w:p>
        </w:tc>
        <w:tc>
          <w:tcPr>
            <w:tcW w:w="4520" w:type="dxa"/>
            <w:vAlign w:val="bottom"/>
          </w:tcPr>
          <w:p>
            <w:pPr>
              <w:ind w:left="400"/>
              <w:spacing w:after="0"/>
              <w:rPr>
                <w:sz w:val="20"/>
                <w:szCs w:val="20"/>
                <w:color w:val="auto"/>
              </w:rPr>
            </w:pPr>
            <w:r>
              <w:rPr>
                <w:rFonts w:ascii="Arial" w:cs="Arial" w:eastAsia="Arial" w:hAnsi="Arial"/>
                <w:sz w:val="18"/>
                <w:szCs w:val="18"/>
                <w:color w:val="auto"/>
              </w:rPr>
              <w:t>meetings</w:t>
            </w:r>
          </w:p>
        </w:tc>
      </w:tr>
      <w:tr>
        <w:trPr>
          <w:trHeight w:val="256"/>
        </w:trPr>
        <w:tc>
          <w:tcPr>
            <w:tcW w:w="4520" w:type="dxa"/>
            <w:vAlign w:val="bottom"/>
          </w:tcPr>
          <w:p>
            <w:pPr>
              <w:ind w:left="300"/>
              <w:spacing w:after="0"/>
              <w:rPr>
                <w:sz w:val="20"/>
                <w:szCs w:val="20"/>
                <w:color w:val="auto"/>
              </w:rPr>
            </w:pPr>
            <w:r>
              <w:rPr>
                <w:rFonts w:ascii="Arial" w:cs="Arial" w:eastAsia="Arial" w:hAnsi="Arial"/>
                <w:sz w:val="18"/>
                <w:szCs w:val="18"/>
                <w:color w:val="auto"/>
              </w:rPr>
              <w:t>presides over regularly conducted executive</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encourages effective director participation by</w:t>
            </w:r>
          </w:p>
        </w:tc>
      </w:tr>
      <w:tr>
        <w:trPr>
          <w:trHeight w:val="203"/>
        </w:trPr>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sessions of the independent directors or sessions</w:t>
            </w:r>
          </w:p>
        </w:tc>
        <w:tc>
          <w:tcPr>
            <w:tcW w:w="4520" w:type="dxa"/>
            <w:vAlign w:val="bottom"/>
          </w:tcPr>
          <w:p>
            <w:pPr>
              <w:ind w:left="400"/>
              <w:spacing w:after="0" w:line="202" w:lineRule="exact"/>
              <w:rPr>
                <w:sz w:val="20"/>
                <w:szCs w:val="20"/>
                <w:color w:val="auto"/>
              </w:rPr>
            </w:pPr>
            <w:r>
              <w:rPr>
                <w:rFonts w:ascii="Arial" w:cs="Arial" w:eastAsia="Arial" w:hAnsi="Arial"/>
                <w:sz w:val="18"/>
                <w:szCs w:val="18"/>
                <w:color w:val="auto"/>
              </w:rPr>
              <w:t>fostering an environment of open dialogue and</w:t>
            </w:r>
          </w:p>
        </w:tc>
      </w:tr>
      <w:tr>
        <w:trPr>
          <w:trHeight w:val="197"/>
        </w:trPr>
        <w:tc>
          <w:tcPr>
            <w:tcW w:w="4520" w:type="dxa"/>
            <w:vAlign w:val="bottom"/>
          </w:tcPr>
          <w:p>
            <w:pPr>
              <w:ind w:left="300"/>
              <w:spacing w:after="0" w:line="197" w:lineRule="exact"/>
              <w:rPr>
                <w:sz w:val="20"/>
                <w:szCs w:val="20"/>
                <w:color w:val="auto"/>
              </w:rPr>
            </w:pPr>
            <w:r>
              <w:rPr>
                <w:rFonts w:ascii="Arial" w:cs="Arial" w:eastAsia="Arial" w:hAnsi="Arial"/>
                <w:sz w:val="18"/>
                <w:szCs w:val="18"/>
                <w:color w:val="auto"/>
              </w:rPr>
              <w:t>where the chairman of the board is not present</w:t>
            </w:r>
          </w:p>
        </w:tc>
        <w:tc>
          <w:tcPr>
            <w:tcW w:w="4520" w:type="dxa"/>
            <w:vAlign w:val="bottom"/>
          </w:tcPr>
          <w:p>
            <w:pPr>
              <w:ind w:left="400"/>
              <w:spacing w:after="0" w:line="197" w:lineRule="exact"/>
              <w:rPr>
                <w:sz w:val="20"/>
                <w:szCs w:val="20"/>
                <w:color w:val="auto"/>
              </w:rPr>
            </w:pPr>
            <w:r>
              <w:rPr>
                <w:rFonts w:ascii="Arial" w:cs="Arial" w:eastAsia="Arial" w:hAnsi="Arial"/>
                <w:sz w:val="18"/>
                <w:szCs w:val="18"/>
                <w:color w:val="auto"/>
                <w:w w:val="99"/>
              </w:rPr>
              <w:t>constructive feedback among independent directors</w:t>
            </w:r>
          </w:p>
        </w:tc>
      </w:tr>
      <w:tr>
        <w:trPr>
          <w:trHeight w:val="262"/>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reviews and approves matters, such as schedule</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involved in selection and interviewing of new board</w:t>
            </w:r>
          </w:p>
        </w:tc>
      </w:tr>
      <w:tr>
        <w:trPr>
          <w:trHeight w:val="183"/>
        </w:trPr>
        <w:tc>
          <w:tcPr>
            <w:tcW w:w="4520" w:type="dxa"/>
            <w:vAlign w:val="bottom"/>
          </w:tcPr>
          <w:p>
            <w:pPr>
              <w:ind w:left="300"/>
              <w:spacing w:after="0" w:line="183" w:lineRule="exact"/>
              <w:rPr>
                <w:sz w:val="20"/>
                <w:szCs w:val="20"/>
                <w:color w:val="auto"/>
              </w:rPr>
            </w:pPr>
            <w:r>
              <w:rPr>
                <w:rFonts w:ascii="Arial" w:cs="Arial" w:eastAsia="Arial" w:hAnsi="Arial"/>
                <w:sz w:val="18"/>
                <w:szCs w:val="18"/>
                <w:color w:val="auto"/>
              </w:rPr>
              <w:t>sufficiency, and, where appropriate, information</w:t>
            </w:r>
          </w:p>
        </w:tc>
        <w:tc>
          <w:tcPr>
            <w:tcW w:w="4520" w:type="dxa"/>
            <w:vAlign w:val="bottom"/>
          </w:tcPr>
          <w:p>
            <w:pPr>
              <w:ind w:left="400"/>
              <w:spacing w:after="0" w:line="183" w:lineRule="exact"/>
              <w:rPr>
                <w:sz w:val="20"/>
                <w:szCs w:val="20"/>
                <w:color w:val="auto"/>
              </w:rPr>
            </w:pPr>
            <w:r>
              <w:rPr>
                <w:rFonts w:ascii="Arial" w:cs="Arial" w:eastAsia="Arial" w:hAnsi="Arial"/>
                <w:sz w:val="18"/>
                <w:szCs w:val="18"/>
                <w:color w:val="auto"/>
              </w:rPr>
              <w:t>members</w:t>
            </w:r>
          </w:p>
        </w:tc>
      </w:tr>
      <w:tr>
        <w:trPr>
          <w:trHeight w:val="209"/>
        </w:trPr>
        <w:tc>
          <w:tcPr>
            <w:tcW w:w="4520" w:type="dxa"/>
            <w:vAlign w:val="bottom"/>
          </w:tcPr>
          <w:p>
            <w:pPr>
              <w:ind w:left="300"/>
              <w:spacing w:after="0"/>
              <w:rPr>
                <w:sz w:val="20"/>
                <w:szCs w:val="20"/>
                <w:color w:val="auto"/>
              </w:rPr>
            </w:pPr>
            <w:r>
              <w:rPr>
                <w:rFonts w:ascii="Arial" w:cs="Arial" w:eastAsia="Arial" w:hAnsi="Arial"/>
                <w:sz w:val="18"/>
                <w:szCs w:val="18"/>
                <w:color w:val="auto"/>
              </w:rPr>
              <w:t>provided to other board members</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if requested by major stockholders, ensures that he</w:t>
            </w:r>
          </w:p>
        </w:tc>
      </w:tr>
      <w:tr>
        <w:trPr>
          <w:trHeight w:val="256"/>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serves as the liaison between the chairman of the</w:t>
            </w:r>
          </w:p>
        </w:tc>
        <w:tc>
          <w:tcPr>
            <w:tcW w:w="4520" w:type="dxa"/>
            <w:vAlign w:val="bottom"/>
          </w:tcPr>
          <w:p>
            <w:pPr>
              <w:ind w:left="400"/>
              <w:spacing w:after="0"/>
              <w:rPr>
                <w:sz w:val="20"/>
                <w:szCs w:val="20"/>
                <w:color w:val="auto"/>
              </w:rPr>
            </w:pPr>
            <w:r>
              <w:rPr>
                <w:rFonts w:ascii="Arial" w:cs="Arial" w:eastAsia="Arial" w:hAnsi="Arial"/>
                <w:sz w:val="18"/>
                <w:szCs w:val="18"/>
                <w:color w:val="auto"/>
              </w:rPr>
              <w:t>or she is available for consultation and direct</w:t>
            </w:r>
          </w:p>
        </w:tc>
      </w:tr>
      <w:tr>
        <w:trPr>
          <w:trHeight w:val="197"/>
        </w:trPr>
        <w:tc>
          <w:tcPr>
            <w:tcW w:w="4520" w:type="dxa"/>
            <w:vAlign w:val="bottom"/>
          </w:tcPr>
          <w:p>
            <w:pPr>
              <w:ind w:left="300"/>
              <w:spacing w:after="0" w:line="197" w:lineRule="exact"/>
              <w:rPr>
                <w:sz w:val="20"/>
                <w:szCs w:val="20"/>
                <w:color w:val="auto"/>
              </w:rPr>
            </w:pPr>
            <w:r>
              <w:rPr>
                <w:rFonts w:ascii="Arial" w:cs="Arial" w:eastAsia="Arial" w:hAnsi="Arial"/>
                <w:sz w:val="18"/>
                <w:szCs w:val="18"/>
                <w:color w:val="auto"/>
              </w:rPr>
              <w:t>board and the independent directors</w:t>
            </w:r>
          </w:p>
        </w:tc>
        <w:tc>
          <w:tcPr>
            <w:tcW w:w="4520" w:type="dxa"/>
            <w:vAlign w:val="bottom"/>
          </w:tcPr>
          <w:p>
            <w:pPr>
              <w:ind w:left="400"/>
              <w:spacing w:after="0" w:line="197" w:lineRule="exact"/>
              <w:rPr>
                <w:sz w:val="20"/>
                <w:szCs w:val="20"/>
                <w:color w:val="auto"/>
              </w:rPr>
            </w:pPr>
            <w:r>
              <w:rPr>
                <w:rFonts w:ascii="Arial" w:cs="Arial" w:eastAsia="Arial" w:hAnsi="Arial"/>
                <w:sz w:val="18"/>
                <w:szCs w:val="18"/>
                <w:color w:val="auto"/>
              </w:rPr>
              <w:t>communication as needed</w:t>
            </w:r>
          </w:p>
        </w:tc>
      </w:tr>
      <w:tr>
        <w:trPr>
          <w:trHeight w:val="262"/>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has the authority to call meetings of the</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if required, represents independent board members</w:t>
            </w:r>
          </w:p>
        </w:tc>
      </w:tr>
      <w:tr>
        <w:trPr>
          <w:trHeight w:val="197"/>
        </w:trPr>
        <w:tc>
          <w:tcPr>
            <w:tcW w:w="4520" w:type="dxa"/>
            <w:vAlign w:val="bottom"/>
          </w:tcPr>
          <w:p>
            <w:pPr>
              <w:ind w:left="300"/>
              <w:spacing w:after="0" w:line="197" w:lineRule="exact"/>
              <w:rPr>
                <w:sz w:val="20"/>
                <w:szCs w:val="20"/>
                <w:color w:val="auto"/>
              </w:rPr>
            </w:pPr>
            <w:r>
              <w:rPr>
                <w:rFonts w:ascii="Arial" w:cs="Arial" w:eastAsia="Arial" w:hAnsi="Arial"/>
                <w:sz w:val="18"/>
                <w:szCs w:val="18"/>
                <w:color w:val="auto"/>
              </w:rPr>
              <w:t>independent directors</w:t>
            </w:r>
          </w:p>
        </w:tc>
        <w:tc>
          <w:tcPr>
            <w:tcW w:w="4520" w:type="dxa"/>
            <w:vAlign w:val="bottom"/>
          </w:tcPr>
          <w:p>
            <w:pPr>
              <w:ind w:left="400"/>
              <w:spacing w:after="0" w:line="197" w:lineRule="exact"/>
              <w:rPr>
                <w:sz w:val="20"/>
                <w:szCs w:val="20"/>
                <w:color w:val="auto"/>
              </w:rPr>
            </w:pPr>
            <w:r>
              <w:rPr>
                <w:rFonts w:ascii="Arial" w:cs="Arial" w:eastAsia="Arial" w:hAnsi="Arial"/>
                <w:sz w:val="18"/>
                <w:szCs w:val="18"/>
                <w:color w:val="auto"/>
              </w:rPr>
              <w:t>externally</w:t>
            </w:r>
          </w:p>
        </w:tc>
      </w:tr>
      <w:tr>
        <w:trPr>
          <w:trHeight w:val="243"/>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leads the board’s evaluation of the CEO</w:t>
            </w:r>
          </w:p>
        </w:tc>
        <w:tc>
          <w:tcPr>
            <w:tcW w:w="4520" w:type="dxa"/>
            <w:vAlign w:val="bottom"/>
          </w:tcPr>
          <w:p>
            <w:pPr>
              <w:ind w:left="100"/>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performs such other duties as the board may</w:t>
            </w:r>
          </w:p>
        </w:tc>
      </w:tr>
      <w:tr>
        <w:trPr>
          <w:trHeight w:val="262"/>
        </w:trPr>
        <w:tc>
          <w:tcPr>
            <w:tcW w:w="4520" w:type="dxa"/>
            <w:vAlign w:val="bottom"/>
          </w:tcPr>
          <w:p>
            <w:pPr>
              <w:spacing w:after="0" w:line="207" w:lineRule="exact"/>
              <w:rPr>
                <w:sz w:val="20"/>
                <w:szCs w:val="20"/>
                <w:color w:val="auto"/>
              </w:rPr>
            </w:pPr>
            <w:r>
              <w:rPr>
                <w:rFonts w:ascii="MS PGothic" w:cs="MS PGothic" w:eastAsia="MS PGothic" w:hAnsi="MS PGothic"/>
                <w:sz w:val="18"/>
                <w:szCs w:val="18"/>
                <w:color w:val="071D49"/>
              </w:rPr>
              <w:t>✓</w:t>
            </w:r>
            <w:r>
              <w:rPr>
                <w:rFonts w:ascii="Arial" w:cs="Arial" w:eastAsia="Arial" w:hAnsi="Arial"/>
                <w:sz w:val="18"/>
                <w:szCs w:val="18"/>
                <w:color w:val="auto"/>
              </w:rPr>
              <w:t xml:space="preserve"> leads the annual board and committee evaluation</w:t>
            </w:r>
          </w:p>
        </w:tc>
        <w:tc>
          <w:tcPr>
            <w:tcW w:w="4520" w:type="dxa"/>
            <w:vAlign w:val="bottom"/>
          </w:tcPr>
          <w:p>
            <w:pPr>
              <w:ind w:left="400"/>
              <w:spacing w:after="0"/>
              <w:rPr>
                <w:sz w:val="20"/>
                <w:szCs w:val="20"/>
                <w:color w:val="auto"/>
              </w:rPr>
            </w:pPr>
            <w:r>
              <w:rPr>
                <w:rFonts w:ascii="Arial" w:cs="Arial" w:eastAsia="Arial" w:hAnsi="Arial"/>
                <w:sz w:val="18"/>
                <w:szCs w:val="18"/>
                <w:color w:val="auto"/>
              </w:rPr>
              <w:t>determine from time to time</w:t>
            </w:r>
          </w:p>
        </w:tc>
      </w:tr>
      <w:tr>
        <w:trPr>
          <w:trHeight w:val="203"/>
        </w:trPr>
        <w:tc>
          <w:tcPr>
            <w:tcW w:w="4520" w:type="dxa"/>
            <w:vAlign w:val="bottom"/>
          </w:tcPr>
          <w:p>
            <w:pPr>
              <w:ind w:left="300"/>
              <w:spacing w:after="0" w:line="202" w:lineRule="exact"/>
              <w:rPr>
                <w:sz w:val="20"/>
                <w:szCs w:val="20"/>
                <w:color w:val="auto"/>
              </w:rPr>
            </w:pPr>
            <w:r>
              <w:rPr>
                <w:rFonts w:ascii="Arial" w:cs="Arial" w:eastAsia="Arial" w:hAnsi="Arial"/>
                <w:sz w:val="18"/>
                <w:szCs w:val="18"/>
                <w:color w:val="auto"/>
              </w:rPr>
              <w:t>process, including discussing evaluations with each</w:t>
            </w:r>
          </w:p>
        </w:tc>
        <w:tc>
          <w:tcPr>
            <w:tcW w:w="4520" w:type="dxa"/>
            <w:vAlign w:val="bottom"/>
          </w:tcPr>
          <w:p>
            <w:pPr>
              <w:spacing w:after="0"/>
              <w:rPr>
                <w:sz w:val="17"/>
                <w:szCs w:val="17"/>
                <w:color w:val="auto"/>
              </w:rPr>
            </w:pPr>
          </w:p>
        </w:tc>
      </w:tr>
      <w:tr>
        <w:trPr>
          <w:trHeight w:val="217"/>
        </w:trPr>
        <w:tc>
          <w:tcPr>
            <w:tcW w:w="4520" w:type="dxa"/>
            <w:vAlign w:val="bottom"/>
          </w:tcPr>
          <w:p>
            <w:pPr>
              <w:ind w:left="300"/>
              <w:spacing w:after="0"/>
              <w:rPr>
                <w:sz w:val="20"/>
                <w:szCs w:val="20"/>
                <w:color w:val="auto"/>
              </w:rPr>
            </w:pPr>
            <w:r>
              <w:rPr>
                <w:rFonts w:ascii="Arial" w:cs="Arial" w:eastAsia="Arial" w:hAnsi="Arial"/>
                <w:sz w:val="18"/>
                <w:szCs w:val="18"/>
                <w:color w:val="auto"/>
              </w:rPr>
              <w:t>director individually</w:t>
            </w:r>
          </w:p>
        </w:tc>
        <w:tc>
          <w:tcPr>
            <w:tcW w:w="4520" w:type="dxa"/>
            <w:vAlign w:val="bottom"/>
          </w:tcPr>
          <w:p>
            <w:pPr>
              <w:spacing w:after="0"/>
              <w:rPr>
                <w:sz w:val="18"/>
                <w:szCs w:val="18"/>
                <w:color w:val="auto"/>
              </w:rPr>
            </w:pPr>
          </w:p>
        </w:tc>
      </w:tr>
    </w:tbl>
    <w:p>
      <w:pPr>
        <w:spacing w:after="0" w:line="24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All directors are encouraged to, and in fact do, consult with the chairman on each of the above topics, as well. The lead director, and each of the other directors, communicates regularly with the chairman of the board and chief executive officer regarding appropriate agenda topics and other board related matters.</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16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To ensure candid feedback, the evaluations are anonymous. The full board, led by the lead independent director, discusses the evaluation reports to determine what, if any, actions or improvements should be undertaken in the near-term and long-term. The board, committee, and CEO evaluations are discussed in executive session to allow for additional candid discussion. In 2020, AbbVie engaged an independent firm to review the board and committee self-evaluation materials, in order to ensure the self-evaluation process reflects current best practices.</w:t>
      </w:r>
    </w:p>
    <w:p>
      <w:pPr>
        <w:spacing w:after="0" w:line="18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Each director’s biography includes the particular experience and qualifications that led the board to conclude that the director should serve on the board. The directors’ biographies are in the section of this proxy statement captioned “Information Concerning Director Nominees.”</w:t>
      </w:r>
    </w:p>
    <w:p>
      <w:pPr>
        <w:spacing w:after="0" w:line="16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-556895</wp:posOffset>
            </wp:positionV>
            <wp:extent cx="87439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808080"/>
        </w:rPr>
        <w:t>THE BOARD OF DIRECTORS AND ITS COMMITTEES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Such skills include,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1435" cy="27603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27603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310"/>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Healthcare Industry</w:t>
            </w:r>
          </w:p>
        </w:tc>
        <w:tc>
          <w:tcPr>
            <w:tcW w:w="6480" w:type="dxa"/>
            <w:vAlign w:val="bottom"/>
          </w:tcPr>
          <w:p>
            <w:pPr>
              <w:ind w:left="140"/>
              <w:spacing w:after="0"/>
              <w:rPr>
                <w:sz w:val="20"/>
                <w:szCs w:val="20"/>
                <w:color w:val="auto"/>
              </w:rPr>
            </w:pPr>
            <w:r>
              <w:rPr>
                <w:rFonts w:ascii="Arial" w:cs="Arial" w:eastAsia="Arial" w:hAnsi="Arial"/>
                <w:sz w:val="18"/>
                <w:szCs w:val="18"/>
                <w:color w:val="auto"/>
              </w:rPr>
              <w:t>Relevant to an industry understanding and review of our business and strategy</w:t>
            </w:r>
          </w:p>
        </w:tc>
        <w:tc>
          <w:tcPr>
            <w:tcW w:w="0" w:type="dxa"/>
            <w:vAlign w:val="bottom"/>
          </w:tcPr>
          <w:p>
            <w:pPr>
              <w:spacing w:after="0"/>
              <w:rPr>
                <w:sz w:val="1"/>
                <w:szCs w:val="1"/>
                <w:color w:val="auto"/>
              </w:rPr>
            </w:pPr>
          </w:p>
        </w:tc>
      </w:tr>
      <w:tr>
        <w:trPr>
          <w:trHeight w:val="132"/>
        </w:trPr>
        <w:tc>
          <w:tcPr>
            <w:tcW w:w="2600" w:type="dxa"/>
            <w:vAlign w:val="bottom"/>
            <w:tcBorders>
              <w:right w:val="single" w:sz="8" w:color="071D49"/>
            </w:tcBorders>
            <w:vMerge w:val="continue"/>
          </w:tcPr>
          <w:p>
            <w:pPr>
              <w:spacing w:after="0"/>
              <w:rPr>
                <w:sz w:val="11"/>
                <w:szCs w:val="11"/>
                <w:color w:val="auto"/>
              </w:rPr>
            </w:pPr>
          </w:p>
        </w:tc>
        <w:tc>
          <w:tcPr>
            <w:tcW w:w="6480" w:type="dxa"/>
            <w:vAlign w:val="bottom"/>
            <w:vMerge w:val="restart"/>
          </w:tcPr>
          <w:p>
            <w:pPr>
              <w:ind w:left="140"/>
              <w:spacing w:after="0"/>
              <w:rPr>
                <w:sz w:val="20"/>
                <w:szCs w:val="20"/>
                <w:color w:val="auto"/>
              </w:rPr>
            </w:pPr>
            <w:r>
              <w:rPr>
                <w:rFonts w:ascii="Arial" w:cs="Arial" w:eastAsia="Arial" w:hAnsi="Arial"/>
                <w:sz w:val="18"/>
                <w:szCs w:val="18"/>
                <w:color w:val="auto"/>
              </w:rPr>
              <w:t>for continued innovation.</w:t>
            </w:r>
          </w:p>
        </w:tc>
        <w:tc>
          <w:tcPr>
            <w:tcW w:w="0" w:type="dxa"/>
            <w:vAlign w:val="bottom"/>
          </w:tcPr>
          <w:p>
            <w:pPr>
              <w:spacing w:after="0"/>
              <w:rPr>
                <w:sz w:val="1"/>
                <w:szCs w:val="1"/>
                <w:color w:val="auto"/>
              </w:rPr>
            </w:pPr>
          </w:p>
        </w:tc>
      </w:tr>
      <w:tr>
        <w:trPr>
          <w:trHeight w:val="85"/>
        </w:trPr>
        <w:tc>
          <w:tcPr>
            <w:tcW w:w="2600" w:type="dxa"/>
            <w:vAlign w:val="bottom"/>
            <w:tcBorders>
              <w:right w:val="single" w:sz="8" w:color="071D49"/>
            </w:tcBorders>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tcBorders>
              <w:bottom w:val="single" w:sz="8" w:color="071D49"/>
              <w:right w:val="single" w:sz="8" w:color="071D49"/>
            </w:tcBorders>
          </w:tcPr>
          <w:p>
            <w:pPr>
              <w:spacing w:after="0"/>
              <w:rPr>
                <w:sz w:val="8"/>
                <w:szCs w:val="8"/>
                <w:color w:val="auto"/>
              </w:rPr>
            </w:pPr>
          </w:p>
        </w:tc>
        <w:tc>
          <w:tcPr>
            <w:tcW w:w="6480" w:type="dxa"/>
            <w:vAlign w:val="bottom"/>
            <w:tcBorders>
              <w:bottom w:val="single" w:sz="8" w:color="071D49"/>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9"/>
              </w:rPr>
              <w:t>Leadership</w:t>
            </w:r>
          </w:p>
        </w:tc>
        <w:tc>
          <w:tcPr>
            <w:tcW w:w="6480" w:type="dxa"/>
            <w:vAlign w:val="bottom"/>
          </w:tcPr>
          <w:p>
            <w:pPr>
              <w:ind w:left="140"/>
              <w:spacing w:after="0"/>
              <w:rPr>
                <w:sz w:val="20"/>
                <w:szCs w:val="20"/>
                <w:color w:val="auto"/>
              </w:rPr>
            </w:pPr>
            <w:r>
              <w:rPr>
                <w:rFonts w:ascii="Arial" w:cs="Arial" w:eastAsia="Arial" w:hAnsi="Arial"/>
                <w:sz w:val="18"/>
                <w:szCs w:val="18"/>
                <w:color w:val="auto"/>
              </w:rPr>
              <w:t>For a board that can successfully advise and oversee the company’s business</w:t>
            </w:r>
          </w:p>
        </w:tc>
        <w:tc>
          <w:tcPr>
            <w:tcW w:w="0" w:type="dxa"/>
            <w:vAlign w:val="bottom"/>
          </w:tcPr>
          <w:p>
            <w:pPr>
              <w:spacing w:after="0"/>
              <w:rPr>
                <w:sz w:val="1"/>
                <w:szCs w:val="1"/>
                <w:color w:val="auto"/>
              </w:rPr>
            </w:pPr>
          </w:p>
        </w:tc>
      </w:tr>
      <w:tr>
        <w:trPr>
          <w:trHeight w:val="132"/>
        </w:trPr>
        <w:tc>
          <w:tcPr>
            <w:tcW w:w="2600" w:type="dxa"/>
            <w:vAlign w:val="bottom"/>
            <w:tcBorders>
              <w:right w:val="single" w:sz="8" w:color="071D49"/>
            </w:tcBorders>
            <w:vMerge w:val="continue"/>
          </w:tcPr>
          <w:p>
            <w:pPr>
              <w:spacing w:after="0"/>
              <w:rPr>
                <w:sz w:val="11"/>
                <w:szCs w:val="11"/>
                <w:color w:val="auto"/>
              </w:rPr>
            </w:pPr>
          </w:p>
        </w:tc>
        <w:tc>
          <w:tcPr>
            <w:tcW w:w="6480" w:type="dxa"/>
            <w:vAlign w:val="bottom"/>
            <w:vMerge w:val="restart"/>
          </w:tcPr>
          <w:p>
            <w:pPr>
              <w:ind w:left="140"/>
              <w:spacing w:after="0"/>
              <w:rPr>
                <w:sz w:val="20"/>
                <w:szCs w:val="20"/>
                <w:color w:val="auto"/>
              </w:rPr>
            </w:pPr>
            <w:r>
              <w:rPr>
                <w:rFonts w:ascii="Arial" w:cs="Arial" w:eastAsia="Arial" w:hAnsi="Arial"/>
                <w:sz w:val="18"/>
                <w:szCs w:val="18"/>
                <w:color w:val="auto"/>
              </w:rPr>
              <w:t>performance and represent stockholders’ interests.</w:t>
            </w:r>
          </w:p>
        </w:tc>
        <w:tc>
          <w:tcPr>
            <w:tcW w:w="0" w:type="dxa"/>
            <w:vAlign w:val="bottom"/>
          </w:tcPr>
          <w:p>
            <w:pPr>
              <w:spacing w:after="0"/>
              <w:rPr>
                <w:sz w:val="1"/>
                <w:szCs w:val="1"/>
                <w:color w:val="auto"/>
              </w:rPr>
            </w:pPr>
          </w:p>
        </w:tc>
      </w:tr>
      <w:tr>
        <w:trPr>
          <w:trHeight w:val="84"/>
        </w:trPr>
        <w:tc>
          <w:tcPr>
            <w:tcW w:w="2600" w:type="dxa"/>
            <w:vAlign w:val="bottom"/>
            <w:tcBorders>
              <w:right w:val="single" w:sz="8" w:color="071D49"/>
            </w:tcBorders>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600" w:type="dxa"/>
            <w:vAlign w:val="bottom"/>
            <w:tcBorders>
              <w:bottom w:val="single" w:sz="8" w:color="071D49"/>
              <w:right w:val="single" w:sz="8" w:color="071D49"/>
            </w:tcBorders>
          </w:tcPr>
          <w:p>
            <w:pPr>
              <w:spacing w:after="0"/>
              <w:rPr>
                <w:sz w:val="8"/>
                <w:szCs w:val="8"/>
                <w:color w:val="auto"/>
              </w:rPr>
            </w:pPr>
          </w:p>
        </w:tc>
        <w:tc>
          <w:tcPr>
            <w:tcW w:w="6480" w:type="dxa"/>
            <w:vAlign w:val="bottom"/>
            <w:tcBorders>
              <w:bottom w:val="single" w:sz="8" w:color="071D49"/>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8"/>
              </w:rPr>
              <w:t>Global Business and</w:t>
            </w:r>
          </w:p>
        </w:tc>
        <w:tc>
          <w:tcPr>
            <w:tcW w:w="6480" w:type="dxa"/>
            <w:vAlign w:val="bottom"/>
          </w:tcPr>
          <w:p>
            <w:pPr>
              <w:ind w:left="140"/>
              <w:spacing w:after="0"/>
              <w:rPr>
                <w:sz w:val="20"/>
                <w:szCs w:val="20"/>
                <w:color w:val="auto"/>
              </w:rPr>
            </w:pPr>
            <w:r>
              <w:rPr>
                <w:rFonts w:ascii="Arial" w:cs="Arial" w:eastAsia="Arial" w:hAnsi="Arial"/>
                <w:sz w:val="18"/>
                <w:szCs w:val="18"/>
                <w:color w:val="auto"/>
              </w:rPr>
              <w:t>For oversight of a complex global organization like AbbVie to successfully</w:t>
            </w:r>
          </w:p>
        </w:tc>
        <w:tc>
          <w:tcPr>
            <w:tcW w:w="0" w:type="dxa"/>
            <w:vAlign w:val="bottom"/>
          </w:tcPr>
          <w:p>
            <w:pPr>
              <w:spacing w:after="0"/>
              <w:rPr>
                <w:sz w:val="1"/>
                <w:szCs w:val="1"/>
                <w:color w:val="auto"/>
              </w:rPr>
            </w:pPr>
          </w:p>
        </w:tc>
      </w:tr>
      <w:tr>
        <w:trPr>
          <w:trHeight w:val="259"/>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7"/>
              </w:rPr>
              <w:t>Strategy</w:t>
            </w:r>
          </w:p>
        </w:tc>
        <w:tc>
          <w:tcPr>
            <w:tcW w:w="6480" w:type="dxa"/>
            <w:vAlign w:val="bottom"/>
          </w:tcPr>
          <w:p>
            <w:pPr>
              <w:ind w:left="140"/>
              <w:spacing w:after="0"/>
              <w:rPr>
                <w:sz w:val="20"/>
                <w:szCs w:val="20"/>
                <w:color w:val="auto"/>
              </w:rPr>
            </w:pPr>
            <w:r>
              <w:rPr>
                <w:rFonts w:ascii="Arial" w:cs="Arial" w:eastAsia="Arial" w:hAnsi="Arial"/>
                <w:sz w:val="18"/>
                <w:szCs w:val="18"/>
                <w:color w:val="auto"/>
              </w:rPr>
              <w:t>advise and oversee the strategic development and direction of the company.</w:t>
            </w:r>
          </w:p>
        </w:tc>
        <w:tc>
          <w:tcPr>
            <w:tcW w:w="0" w:type="dxa"/>
            <w:vAlign w:val="bottom"/>
          </w:tcPr>
          <w:p>
            <w:pPr>
              <w:spacing w:after="0"/>
              <w:rPr>
                <w:sz w:val="1"/>
                <w:szCs w:val="1"/>
                <w:color w:val="auto"/>
              </w:rPr>
            </w:pPr>
          </w:p>
        </w:tc>
      </w:tr>
      <w:tr>
        <w:trPr>
          <w:trHeight w:val="105"/>
        </w:trPr>
        <w:tc>
          <w:tcPr>
            <w:tcW w:w="2600" w:type="dxa"/>
            <w:vAlign w:val="bottom"/>
            <w:tcBorders>
              <w:bottom w:val="single" w:sz="8" w:color="071D49"/>
              <w:right w:val="single" w:sz="8" w:color="071D49"/>
            </w:tcBorders>
          </w:tcPr>
          <w:p>
            <w:pPr>
              <w:spacing w:after="0"/>
              <w:rPr>
                <w:sz w:val="9"/>
                <w:szCs w:val="9"/>
                <w:color w:val="auto"/>
              </w:rPr>
            </w:pPr>
          </w:p>
        </w:tc>
        <w:tc>
          <w:tcPr>
            <w:tcW w:w="64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8"/>
              </w:rPr>
              <w:t>Corporate Governance</w:t>
            </w:r>
          </w:p>
        </w:tc>
        <w:tc>
          <w:tcPr>
            <w:tcW w:w="6480" w:type="dxa"/>
            <w:vAlign w:val="bottom"/>
            <w:vMerge w:val="restart"/>
          </w:tcPr>
          <w:p>
            <w:pPr>
              <w:ind w:left="140"/>
              <w:spacing w:after="0"/>
              <w:rPr>
                <w:sz w:val="20"/>
                <w:szCs w:val="20"/>
                <w:color w:val="auto"/>
              </w:rPr>
            </w:pPr>
            <w:r>
              <w:rPr>
                <w:rFonts w:ascii="Arial" w:cs="Arial" w:eastAsia="Arial" w:hAnsi="Arial"/>
                <w:sz w:val="18"/>
                <w:szCs w:val="18"/>
                <w:color w:val="auto"/>
              </w:rPr>
              <w:t>Ensuring directors have the background and knowledge to perform oversight</w:t>
            </w:r>
          </w:p>
        </w:tc>
        <w:tc>
          <w:tcPr>
            <w:tcW w:w="0" w:type="dxa"/>
            <w:vAlign w:val="bottom"/>
          </w:tcPr>
          <w:p>
            <w:pPr>
              <w:spacing w:after="0"/>
              <w:rPr>
                <w:sz w:val="1"/>
                <w:szCs w:val="1"/>
                <w:color w:val="auto"/>
              </w:rPr>
            </w:pPr>
          </w:p>
        </w:tc>
      </w:tr>
      <w:tr>
        <w:trPr>
          <w:trHeight w:val="127"/>
        </w:trPr>
        <w:tc>
          <w:tcPr>
            <w:tcW w:w="2600" w:type="dxa"/>
            <w:vAlign w:val="bottom"/>
            <w:tcBorders>
              <w:right w:val="single" w:sz="8" w:color="071D49"/>
            </w:tcBorders>
            <w:vMerge w:val="restart"/>
          </w:tcPr>
          <w:p>
            <w:pPr>
              <w:jc w:val="center"/>
              <w:spacing w:after="0" w:line="243" w:lineRule="exact"/>
              <w:rPr>
                <w:sz w:val="20"/>
                <w:szCs w:val="20"/>
                <w:color w:val="auto"/>
              </w:rPr>
            </w:pPr>
            <w:r>
              <w:rPr>
                <w:rFonts w:ascii="Arial" w:cs="Arial" w:eastAsia="Arial" w:hAnsi="Arial"/>
                <w:sz w:val="22"/>
                <w:szCs w:val="22"/>
                <w:color w:val="auto"/>
                <w:w w:val="98"/>
              </w:rPr>
              <w:t>and Public Company</w:t>
            </w:r>
          </w:p>
        </w:tc>
        <w:tc>
          <w:tcPr>
            <w:tcW w:w="6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00" w:type="dxa"/>
            <w:vAlign w:val="bottom"/>
            <w:tcBorders>
              <w:right w:val="single" w:sz="8" w:color="071D49"/>
            </w:tcBorders>
            <w:vMerge w:val="continue"/>
          </w:tcPr>
          <w:p>
            <w:pPr>
              <w:spacing w:after="0"/>
              <w:rPr>
                <w:sz w:val="10"/>
                <w:szCs w:val="10"/>
                <w:color w:val="auto"/>
              </w:rPr>
            </w:pPr>
          </w:p>
        </w:tc>
        <w:tc>
          <w:tcPr>
            <w:tcW w:w="6480" w:type="dxa"/>
            <w:vAlign w:val="bottom"/>
            <w:vMerge w:val="restart"/>
          </w:tcPr>
          <w:p>
            <w:pPr>
              <w:ind w:left="140"/>
              <w:spacing w:after="0"/>
              <w:rPr>
                <w:sz w:val="20"/>
                <w:szCs w:val="20"/>
                <w:color w:val="auto"/>
              </w:rPr>
            </w:pPr>
            <w:r>
              <w:rPr>
                <w:rFonts w:ascii="Arial" w:cs="Arial" w:eastAsia="Arial" w:hAnsi="Arial"/>
                <w:sz w:val="18"/>
                <w:szCs w:val="18"/>
                <w:color w:val="auto"/>
              </w:rPr>
              <w:t>and governance roles.</w:t>
            </w:r>
          </w:p>
        </w:tc>
        <w:tc>
          <w:tcPr>
            <w:tcW w:w="0" w:type="dxa"/>
            <w:vAlign w:val="bottom"/>
          </w:tcPr>
          <w:p>
            <w:pPr>
              <w:spacing w:after="0"/>
              <w:rPr>
                <w:sz w:val="1"/>
                <w:szCs w:val="1"/>
                <w:color w:val="auto"/>
              </w:rPr>
            </w:pPr>
          </w:p>
        </w:tc>
      </w:tr>
      <w:tr>
        <w:trPr>
          <w:trHeight w:val="101"/>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5"/>
              </w:rPr>
              <w:t>Board</w:t>
            </w:r>
          </w:p>
        </w:tc>
        <w:tc>
          <w:tcPr>
            <w:tcW w:w="6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600" w:type="dxa"/>
            <w:vAlign w:val="bottom"/>
            <w:tcBorders>
              <w:right w:val="single" w:sz="8" w:color="071D49"/>
            </w:tcBorders>
            <w:vMerge w:val="continue"/>
          </w:tcPr>
          <w:p>
            <w:pPr>
              <w:spacing w:after="0"/>
              <w:rPr>
                <w:sz w:val="13"/>
                <w:szCs w:val="13"/>
                <w:color w:val="auto"/>
              </w:rPr>
            </w:pPr>
          </w:p>
        </w:tc>
        <w:tc>
          <w:tcPr>
            <w:tcW w:w="6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600" w:type="dxa"/>
            <w:vAlign w:val="bottom"/>
            <w:tcBorders>
              <w:bottom w:val="single" w:sz="8" w:color="071D49"/>
              <w:right w:val="single" w:sz="8" w:color="071D49"/>
            </w:tcBorders>
          </w:tcPr>
          <w:p>
            <w:pPr>
              <w:spacing w:after="0"/>
              <w:rPr>
                <w:sz w:val="9"/>
                <w:szCs w:val="9"/>
                <w:color w:val="auto"/>
              </w:rPr>
            </w:pPr>
          </w:p>
        </w:tc>
        <w:tc>
          <w:tcPr>
            <w:tcW w:w="64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60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Finance or Accounting</w:t>
            </w:r>
          </w:p>
        </w:tc>
        <w:tc>
          <w:tcPr>
            <w:tcW w:w="6480" w:type="dxa"/>
            <w:vAlign w:val="bottom"/>
          </w:tcPr>
          <w:p>
            <w:pPr>
              <w:ind w:left="140"/>
              <w:spacing w:after="0"/>
              <w:rPr>
                <w:sz w:val="20"/>
                <w:szCs w:val="20"/>
                <w:color w:val="auto"/>
              </w:rPr>
            </w:pPr>
            <w:r>
              <w:rPr>
                <w:rFonts w:ascii="Arial" w:cs="Arial" w:eastAsia="Arial" w:hAnsi="Arial"/>
                <w:sz w:val="18"/>
                <w:szCs w:val="18"/>
                <w:color w:val="auto"/>
              </w:rPr>
              <w:t>Enabling our directors to analyze our financial statements, oversee our capital</w:t>
            </w:r>
          </w:p>
        </w:tc>
        <w:tc>
          <w:tcPr>
            <w:tcW w:w="0" w:type="dxa"/>
            <w:vAlign w:val="bottom"/>
          </w:tcPr>
          <w:p>
            <w:pPr>
              <w:spacing w:after="0"/>
              <w:rPr>
                <w:sz w:val="1"/>
                <w:szCs w:val="1"/>
                <w:color w:val="auto"/>
              </w:rPr>
            </w:pPr>
          </w:p>
        </w:tc>
      </w:tr>
      <w:tr>
        <w:trPr>
          <w:trHeight w:val="132"/>
        </w:trPr>
        <w:tc>
          <w:tcPr>
            <w:tcW w:w="2600" w:type="dxa"/>
            <w:vAlign w:val="bottom"/>
            <w:tcBorders>
              <w:right w:val="single" w:sz="8" w:color="071D49"/>
            </w:tcBorders>
            <w:vMerge w:val="continue"/>
          </w:tcPr>
          <w:p>
            <w:pPr>
              <w:spacing w:after="0"/>
              <w:rPr>
                <w:sz w:val="11"/>
                <w:szCs w:val="11"/>
                <w:color w:val="auto"/>
              </w:rPr>
            </w:pPr>
          </w:p>
        </w:tc>
        <w:tc>
          <w:tcPr>
            <w:tcW w:w="6480" w:type="dxa"/>
            <w:vAlign w:val="bottom"/>
            <w:vMerge w:val="restart"/>
          </w:tcPr>
          <w:p>
            <w:pPr>
              <w:ind w:left="140"/>
              <w:spacing w:after="0"/>
              <w:rPr>
                <w:sz w:val="20"/>
                <w:szCs w:val="20"/>
                <w:color w:val="auto"/>
              </w:rPr>
            </w:pPr>
            <w:r>
              <w:rPr>
                <w:rFonts w:ascii="Arial" w:cs="Arial" w:eastAsia="Arial" w:hAnsi="Arial"/>
                <w:sz w:val="18"/>
                <w:szCs w:val="18"/>
                <w:color w:val="auto"/>
              </w:rPr>
              <w:t>structure, and consider financial transactions.</w:t>
            </w:r>
          </w:p>
        </w:tc>
        <w:tc>
          <w:tcPr>
            <w:tcW w:w="0" w:type="dxa"/>
            <w:vAlign w:val="bottom"/>
          </w:tcPr>
          <w:p>
            <w:pPr>
              <w:spacing w:after="0"/>
              <w:rPr>
                <w:sz w:val="1"/>
                <w:szCs w:val="1"/>
                <w:color w:val="auto"/>
              </w:rPr>
            </w:pPr>
          </w:p>
        </w:tc>
      </w:tr>
      <w:tr>
        <w:trPr>
          <w:trHeight w:val="85"/>
        </w:trPr>
        <w:tc>
          <w:tcPr>
            <w:tcW w:w="2600" w:type="dxa"/>
            <w:vAlign w:val="bottom"/>
            <w:tcBorders>
              <w:right w:val="single" w:sz="8" w:color="071D49"/>
            </w:tcBorders>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600" w:type="dxa"/>
            <w:vAlign w:val="bottom"/>
            <w:tcBorders>
              <w:bottom w:val="single" w:sz="8" w:color="071D49"/>
              <w:right w:val="single" w:sz="8" w:color="071D49"/>
            </w:tcBorders>
          </w:tcPr>
          <w:p>
            <w:pPr>
              <w:spacing w:after="0"/>
              <w:rPr>
                <w:sz w:val="8"/>
                <w:szCs w:val="8"/>
                <w:color w:val="auto"/>
              </w:rPr>
            </w:pPr>
          </w:p>
        </w:tc>
        <w:tc>
          <w:tcPr>
            <w:tcW w:w="6480" w:type="dxa"/>
            <w:vAlign w:val="bottom"/>
            <w:tcBorders>
              <w:bottom w:val="single" w:sz="8" w:color="071D49"/>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8"/>
              </w:rPr>
              <w:t>Government Relations</w:t>
            </w:r>
          </w:p>
        </w:tc>
        <w:tc>
          <w:tcPr>
            <w:tcW w:w="6480" w:type="dxa"/>
            <w:vAlign w:val="bottom"/>
          </w:tcPr>
          <w:p>
            <w:pPr>
              <w:ind w:left="140"/>
              <w:spacing w:after="0"/>
              <w:rPr>
                <w:sz w:val="20"/>
                <w:szCs w:val="20"/>
                <w:color w:val="auto"/>
              </w:rPr>
            </w:pPr>
            <w:r>
              <w:rPr>
                <w:rFonts w:ascii="Arial" w:cs="Arial" w:eastAsia="Arial" w:hAnsi="Arial"/>
                <w:sz w:val="18"/>
                <w:szCs w:val="18"/>
                <w:color w:val="auto"/>
              </w:rPr>
              <w:t>For an understanding of the complex regulatory and governmental environment</w:t>
            </w:r>
          </w:p>
        </w:tc>
        <w:tc>
          <w:tcPr>
            <w:tcW w:w="0" w:type="dxa"/>
            <w:vAlign w:val="bottom"/>
          </w:tcPr>
          <w:p>
            <w:pPr>
              <w:spacing w:after="0"/>
              <w:rPr>
                <w:sz w:val="1"/>
                <w:szCs w:val="1"/>
                <w:color w:val="auto"/>
              </w:rPr>
            </w:pPr>
          </w:p>
        </w:tc>
      </w:tr>
      <w:tr>
        <w:trPr>
          <w:trHeight w:val="259"/>
        </w:trPr>
        <w:tc>
          <w:tcPr>
            <w:tcW w:w="260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9"/>
              </w:rPr>
              <w:t>and Regulatory</w:t>
            </w:r>
          </w:p>
        </w:tc>
        <w:tc>
          <w:tcPr>
            <w:tcW w:w="6480" w:type="dxa"/>
            <w:vAlign w:val="bottom"/>
          </w:tcPr>
          <w:p>
            <w:pPr>
              <w:ind w:left="140"/>
              <w:spacing w:after="0"/>
              <w:rPr>
                <w:sz w:val="20"/>
                <w:szCs w:val="20"/>
                <w:color w:val="auto"/>
              </w:rPr>
            </w:pPr>
            <w:r>
              <w:rPr>
                <w:rFonts w:ascii="Arial" w:cs="Arial" w:eastAsia="Arial" w:hAnsi="Arial"/>
                <w:sz w:val="18"/>
                <w:szCs w:val="18"/>
                <w:color w:val="auto"/>
              </w:rPr>
              <w:t>in which our business operates.</w:t>
            </w:r>
          </w:p>
        </w:tc>
        <w:tc>
          <w:tcPr>
            <w:tcW w:w="0" w:type="dxa"/>
            <w:vAlign w:val="bottom"/>
          </w:tcPr>
          <w:p>
            <w:pPr>
              <w:spacing w:after="0"/>
              <w:rPr>
                <w:sz w:val="1"/>
                <w:szCs w:val="1"/>
                <w:color w:val="auto"/>
              </w:rPr>
            </w:pPr>
          </w:p>
        </w:tc>
      </w:tr>
      <w:tr>
        <w:trPr>
          <w:trHeight w:val="98"/>
        </w:trPr>
        <w:tc>
          <w:tcPr>
            <w:tcW w:w="2600" w:type="dxa"/>
            <w:vAlign w:val="bottom"/>
            <w:tcBorders>
              <w:right w:val="single" w:sz="8" w:color="071D49"/>
            </w:tcBorders>
          </w:tcPr>
          <w:p>
            <w:pPr>
              <w:spacing w:after="0"/>
              <w:rPr>
                <w:sz w:val="8"/>
                <w:szCs w:val="8"/>
                <w:color w:val="auto"/>
              </w:rPr>
            </w:pPr>
          </w:p>
        </w:tc>
        <w:tc>
          <w:tcPr>
            <w:tcW w:w="6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940" w:type="dxa"/>
            <w:vAlign w:val="bottom"/>
            <w:tcBorders>
              <w:bottom w:val="single" w:sz="8" w:color="071D49"/>
            </w:tcBorders>
          </w:tcPr>
          <w:p>
            <w:pPr>
              <w:spacing w:after="0"/>
              <w:rPr>
                <w:sz w:val="14"/>
                <w:szCs w:val="14"/>
                <w:color w:val="auto"/>
              </w:rPr>
            </w:pPr>
          </w:p>
        </w:tc>
        <w:tc>
          <w:tcPr>
            <w:tcW w:w="68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7"/>
              </w:rPr>
              <w:t>ALPERN</w:t>
            </w:r>
          </w:p>
        </w:tc>
        <w:tc>
          <w:tcPr>
            <w:tcW w:w="62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9"/>
              </w:rPr>
              <w:t>AUSTIN</w:t>
            </w:r>
          </w:p>
        </w:tc>
        <w:tc>
          <w:tcPr>
            <w:tcW w:w="92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7"/>
              </w:rPr>
              <w:t>BURNSIDE</w:t>
            </w:r>
          </w:p>
        </w:tc>
        <w:tc>
          <w:tcPr>
            <w:tcW w:w="88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6"/>
              </w:rPr>
              <w:t>FREYMAN</w:t>
            </w:r>
          </w:p>
        </w:tc>
        <w:tc>
          <w:tcPr>
            <w:tcW w:w="88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7"/>
              </w:rPr>
              <w:t>GONZALEZ</w:t>
            </w:r>
          </w:p>
        </w:tc>
        <w:tc>
          <w:tcPr>
            <w:tcW w:w="940" w:type="dxa"/>
            <w:vAlign w:val="bottom"/>
            <w:tcBorders>
              <w:bottom w:val="single" w:sz="8" w:color="071D49"/>
            </w:tcBorders>
            <w:gridSpan w:val="2"/>
          </w:tcPr>
          <w:p>
            <w:pPr>
              <w:ind w:left="60"/>
              <w:spacing w:after="0"/>
              <w:rPr>
                <w:sz w:val="20"/>
                <w:szCs w:val="20"/>
                <w:color w:val="auto"/>
              </w:rPr>
            </w:pPr>
            <w:r>
              <w:rPr>
                <w:rFonts w:ascii="Arial" w:cs="Arial" w:eastAsia="Arial" w:hAnsi="Arial"/>
                <w:sz w:val="13"/>
                <w:szCs w:val="13"/>
                <w:b w:val="1"/>
                <w:bCs w:val="1"/>
                <w:color w:val="auto"/>
              </w:rPr>
              <w:t>HART  LIDDY</w:t>
            </w:r>
          </w:p>
        </w:tc>
        <w:tc>
          <w:tcPr>
            <w:tcW w:w="58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9"/>
              </w:rPr>
              <w:t>MEYER</w:t>
            </w:r>
          </w:p>
        </w:tc>
        <w:tc>
          <w:tcPr>
            <w:tcW w:w="44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9"/>
              </w:rPr>
              <w:t>RAPP</w:t>
            </w:r>
          </w:p>
        </w:tc>
        <w:tc>
          <w:tcPr>
            <w:tcW w:w="84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7"/>
              </w:rPr>
              <w:t>ROBERTS</w:t>
            </w:r>
          </w:p>
        </w:tc>
        <w:tc>
          <w:tcPr>
            <w:tcW w:w="60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3"/>
              </w:rPr>
              <w:t>TILTON</w:t>
            </w:r>
          </w:p>
        </w:tc>
        <w:tc>
          <w:tcPr>
            <w:tcW w:w="88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auto"/>
                <w:w w:val="95"/>
              </w:rPr>
              <w:t>WADDELL</w:t>
            </w:r>
          </w:p>
        </w:tc>
        <w:tc>
          <w:tcPr>
            <w:tcW w:w="0" w:type="dxa"/>
            <w:vAlign w:val="bottom"/>
          </w:tcPr>
          <w:p>
            <w:pPr>
              <w:spacing w:after="0"/>
              <w:rPr>
                <w:sz w:val="1"/>
                <w:szCs w:val="1"/>
                <w:color w:val="auto"/>
              </w:rPr>
            </w:pPr>
          </w:p>
        </w:tc>
      </w:tr>
      <w:tr>
        <w:trPr>
          <w:trHeight w:val="116"/>
        </w:trPr>
        <w:tc>
          <w:tcPr>
            <w:tcW w:w="80" w:type="dxa"/>
            <w:vAlign w:val="bottom"/>
            <w:tcBorders>
              <w:left w:val="single" w:sz="8" w:color="071D49"/>
            </w:tcBorders>
          </w:tcPr>
          <w:p>
            <w:pPr>
              <w:spacing w:after="0"/>
              <w:rPr>
                <w:sz w:val="10"/>
                <w:szCs w:val="10"/>
                <w:color w:val="auto"/>
              </w:rPr>
            </w:pPr>
          </w:p>
        </w:tc>
        <w:tc>
          <w:tcPr>
            <w:tcW w:w="9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Industry</w:t>
            </w:r>
          </w:p>
        </w:tc>
        <w:tc>
          <w:tcPr>
            <w:tcW w:w="68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62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920" w:type="dxa"/>
            <w:vAlign w:val="bottom"/>
            <w:shd w:val="clear" w:color="auto" w:fill="F2F2F2"/>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88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440" w:type="dxa"/>
            <w:vAlign w:val="bottom"/>
          </w:tcPr>
          <w:p>
            <w:pPr>
              <w:spacing w:after="0"/>
              <w:rPr>
                <w:sz w:val="10"/>
                <w:szCs w:val="10"/>
                <w:color w:val="auto"/>
              </w:rPr>
            </w:pPr>
          </w:p>
        </w:tc>
        <w:tc>
          <w:tcPr>
            <w:tcW w:w="500" w:type="dxa"/>
            <w:vAlign w:val="bottom"/>
            <w:shd w:val="clear" w:color="auto" w:fill="F2F2F2"/>
          </w:tcPr>
          <w:p>
            <w:pPr>
              <w:ind w:left="180"/>
              <w:spacing w:after="0" w:line="116" w:lineRule="exact"/>
              <w:rPr>
                <w:sz w:val="20"/>
                <w:szCs w:val="20"/>
                <w:color w:val="auto"/>
              </w:rPr>
            </w:pPr>
            <w:r>
              <w:rPr>
                <w:rFonts w:ascii="Arial" w:cs="Arial" w:eastAsia="Arial" w:hAnsi="Arial"/>
                <w:sz w:val="13"/>
                <w:szCs w:val="13"/>
                <w:color w:val="071D49"/>
              </w:rPr>
              <w:t>●</w:t>
            </w:r>
          </w:p>
        </w:tc>
        <w:tc>
          <w:tcPr>
            <w:tcW w:w="580" w:type="dxa"/>
            <w:vAlign w:val="bottom"/>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Healthcare</w:t>
            </w:r>
          </w:p>
        </w:tc>
        <w:tc>
          <w:tcPr>
            <w:tcW w:w="680" w:type="dxa"/>
            <w:vAlign w:val="bottom"/>
            <w:shd w:val="clear" w:color="auto" w:fill="F2F2F2"/>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shd w:val="clear" w:color="auto" w:fill="F2F2F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Borders>
              <w:left w:val="single" w:sz="8" w:color="071D49"/>
            </w:tcBorders>
          </w:tcPr>
          <w:p>
            <w:pPr>
              <w:spacing w:after="0"/>
              <w:rPr>
                <w:sz w:val="20"/>
                <w:szCs w:val="20"/>
                <w:color w:val="auto"/>
              </w:rPr>
            </w:pPr>
          </w:p>
        </w:tc>
        <w:tc>
          <w:tcPr>
            <w:tcW w:w="940" w:type="dxa"/>
            <w:vAlign w:val="bottom"/>
            <w:tcBorders>
              <w:bottom w:val="single" w:sz="8" w:color="071D49"/>
            </w:tcBorders>
          </w:tcPr>
          <w:p>
            <w:pPr>
              <w:spacing w:after="0"/>
              <w:rPr>
                <w:sz w:val="20"/>
                <w:szCs w:val="20"/>
                <w:color w:val="auto"/>
              </w:rPr>
            </w:pPr>
          </w:p>
        </w:tc>
        <w:tc>
          <w:tcPr>
            <w:tcW w:w="680" w:type="dxa"/>
            <w:vAlign w:val="bottom"/>
            <w:tcBorders>
              <w:bottom w:val="single" w:sz="8" w:color="071D49"/>
            </w:tcBorders>
            <w:shd w:val="clear" w:color="auto" w:fill="F2F2F2"/>
          </w:tcPr>
          <w:p>
            <w:pPr>
              <w:spacing w:after="0"/>
              <w:rPr>
                <w:sz w:val="20"/>
                <w:szCs w:val="20"/>
                <w:color w:val="auto"/>
              </w:rPr>
            </w:pPr>
          </w:p>
        </w:tc>
        <w:tc>
          <w:tcPr>
            <w:tcW w:w="620" w:type="dxa"/>
            <w:vAlign w:val="bottom"/>
            <w:tcBorders>
              <w:bottom w:val="single" w:sz="8" w:color="071D49"/>
            </w:tcBorders>
          </w:tcPr>
          <w:p>
            <w:pPr>
              <w:spacing w:after="0"/>
              <w:rPr>
                <w:sz w:val="20"/>
                <w:szCs w:val="20"/>
                <w:color w:val="auto"/>
              </w:rPr>
            </w:pPr>
          </w:p>
        </w:tc>
        <w:tc>
          <w:tcPr>
            <w:tcW w:w="920" w:type="dxa"/>
            <w:vAlign w:val="bottom"/>
            <w:tcBorders>
              <w:bottom w:val="single" w:sz="8" w:color="071D49"/>
            </w:tcBorders>
            <w:shd w:val="clear" w:color="auto" w:fill="F2F2F2"/>
          </w:tcPr>
          <w:p>
            <w:pPr>
              <w:spacing w:after="0"/>
              <w:rPr>
                <w:sz w:val="20"/>
                <w:szCs w:val="20"/>
                <w:color w:val="auto"/>
              </w:rPr>
            </w:pPr>
          </w:p>
        </w:tc>
        <w:tc>
          <w:tcPr>
            <w:tcW w:w="880" w:type="dxa"/>
            <w:vAlign w:val="bottom"/>
            <w:tcBorders>
              <w:bottom w:val="single" w:sz="8" w:color="071D49"/>
            </w:tcBorders>
          </w:tcPr>
          <w:p>
            <w:pPr>
              <w:spacing w:after="0"/>
              <w:rPr>
                <w:sz w:val="20"/>
                <w:szCs w:val="20"/>
                <w:color w:val="auto"/>
              </w:rPr>
            </w:pPr>
          </w:p>
        </w:tc>
        <w:tc>
          <w:tcPr>
            <w:tcW w:w="880" w:type="dxa"/>
            <w:vAlign w:val="bottom"/>
            <w:tcBorders>
              <w:bottom w:val="single" w:sz="8" w:color="071D49"/>
            </w:tcBorders>
            <w:shd w:val="clear" w:color="auto" w:fill="F2F2F2"/>
          </w:tcPr>
          <w:p>
            <w:pPr>
              <w:spacing w:after="0"/>
              <w:rPr>
                <w:sz w:val="20"/>
                <w:szCs w:val="20"/>
                <w:color w:val="auto"/>
              </w:rPr>
            </w:pPr>
          </w:p>
        </w:tc>
        <w:tc>
          <w:tcPr>
            <w:tcW w:w="440" w:type="dxa"/>
            <w:vAlign w:val="bottom"/>
            <w:tcBorders>
              <w:bottom w:val="single" w:sz="8" w:color="071D49"/>
            </w:tcBorders>
          </w:tcPr>
          <w:p>
            <w:pPr>
              <w:spacing w:after="0"/>
              <w:rPr>
                <w:sz w:val="20"/>
                <w:szCs w:val="20"/>
                <w:color w:val="auto"/>
              </w:rPr>
            </w:pPr>
          </w:p>
        </w:tc>
        <w:tc>
          <w:tcPr>
            <w:tcW w:w="500" w:type="dxa"/>
            <w:vAlign w:val="bottom"/>
            <w:tcBorders>
              <w:bottom w:val="single" w:sz="8" w:color="071D49"/>
            </w:tcBorders>
            <w:shd w:val="clear" w:color="auto" w:fill="F2F2F2"/>
          </w:tcPr>
          <w:p>
            <w:pPr>
              <w:spacing w:after="0"/>
              <w:rPr>
                <w:sz w:val="20"/>
                <w:szCs w:val="20"/>
                <w:color w:val="auto"/>
              </w:rPr>
            </w:pPr>
          </w:p>
        </w:tc>
        <w:tc>
          <w:tcPr>
            <w:tcW w:w="580" w:type="dxa"/>
            <w:vAlign w:val="bottom"/>
            <w:tcBorders>
              <w:bottom w:val="single" w:sz="8" w:color="071D49"/>
            </w:tcBorders>
          </w:tcPr>
          <w:p>
            <w:pPr>
              <w:spacing w:after="0"/>
              <w:rPr>
                <w:sz w:val="20"/>
                <w:szCs w:val="20"/>
                <w:color w:val="auto"/>
              </w:rPr>
            </w:pPr>
          </w:p>
        </w:tc>
        <w:tc>
          <w:tcPr>
            <w:tcW w:w="440" w:type="dxa"/>
            <w:vAlign w:val="bottom"/>
            <w:tcBorders>
              <w:bottom w:val="single" w:sz="8" w:color="071D49"/>
            </w:tcBorders>
            <w:shd w:val="clear" w:color="auto" w:fill="F2F2F2"/>
          </w:tcPr>
          <w:p>
            <w:pPr>
              <w:spacing w:after="0"/>
              <w:rPr>
                <w:sz w:val="20"/>
                <w:szCs w:val="20"/>
                <w:color w:val="auto"/>
              </w:rPr>
            </w:pPr>
          </w:p>
        </w:tc>
        <w:tc>
          <w:tcPr>
            <w:tcW w:w="840" w:type="dxa"/>
            <w:vAlign w:val="bottom"/>
            <w:tcBorders>
              <w:bottom w:val="single" w:sz="8" w:color="071D49"/>
            </w:tcBorders>
          </w:tcPr>
          <w:p>
            <w:pPr>
              <w:spacing w:after="0"/>
              <w:rPr>
                <w:sz w:val="20"/>
                <w:szCs w:val="20"/>
                <w:color w:val="auto"/>
              </w:rPr>
            </w:pPr>
          </w:p>
        </w:tc>
        <w:tc>
          <w:tcPr>
            <w:tcW w:w="600" w:type="dxa"/>
            <w:vAlign w:val="bottom"/>
            <w:tcBorders>
              <w:bottom w:val="single" w:sz="8" w:color="071D49"/>
            </w:tcBorders>
            <w:shd w:val="clear" w:color="auto" w:fill="F2F2F2"/>
          </w:tcPr>
          <w:p>
            <w:pPr>
              <w:spacing w:after="0"/>
              <w:rPr>
                <w:sz w:val="20"/>
                <w:szCs w:val="20"/>
                <w:color w:val="auto"/>
              </w:rPr>
            </w:pPr>
          </w:p>
        </w:tc>
        <w:tc>
          <w:tcPr>
            <w:tcW w:w="880" w:type="dxa"/>
            <w:vAlign w:val="bottom"/>
            <w:tcBorders>
              <w:bottom w:val="single" w:sz="8" w:color="071D49"/>
            </w:tcBorders>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0" w:type="dxa"/>
            <w:vAlign w:val="bottom"/>
            <w:tcBorders>
              <w:left w:val="single" w:sz="8" w:color="071D49"/>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Leadership</w:t>
            </w:r>
          </w:p>
        </w:tc>
        <w:tc>
          <w:tcPr>
            <w:tcW w:w="680" w:type="dxa"/>
            <w:vAlign w:val="bottom"/>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620" w:type="dxa"/>
            <w:vAlign w:val="bottom"/>
          </w:tcPr>
          <w:p>
            <w:pPr>
              <w:jc w:val="center"/>
              <w:spacing w:after="0"/>
              <w:rPr>
                <w:sz w:val="20"/>
                <w:szCs w:val="20"/>
                <w:color w:val="auto"/>
              </w:rPr>
            </w:pPr>
            <w:r>
              <w:rPr>
                <w:rFonts w:ascii="Arial" w:cs="Arial" w:eastAsia="Arial" w:hAnsi="Arial"/>
                <w:sz w:val="25"/>
                <w:szCs w:val="25"/>
                <w:color w:val="071D49"/>
              </w:rPr>
              <w:t>●</w:t>
            </w:r>
          </w:p>
        </w:tc>
        <w:tc>
          <w:tcPr>
            <w:tcW w:w="920" w:type="dxa"/>
            <w:vAlign w:val="bottom"/>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tcPr>
          <w:p>
            <w:pPr>
              <w:jc w:val="center"/>
              <w:spacing w:after="0"/>
              <w:rPr>
                <w:sz w:val="20"/>
                <w:szCs w:val="20"/>
                <w:color w:val="auto"/>
              </w:rPr>
            </w:pPr>
            <w:r>
              <w:rPr>
                <w:rFonts w:ascii="Arial" w:cs="Arial" w:eastAsia="Arial" w:hAnsi="Arial"/>
                <w:sz w:val="25"/>
                <w:szCs w:val="25"/>
                <w:color w:val="071D49"/>
                <w:w w:val="92"/>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tcPr>
          <w:p>
            <w:pPr>
              <w:ind w:left="160"/>
              <w:spacing w:after="0"/>
              <w:rPr>
                <w:sz w:val="20"/>
                <w:szCs w:val="20"/>
                <w:color w:val="auto"/>
              </w:rPr>
            </w:pPr>
            <w:r>
              <w:rPr>
                <w:rFonts w:ascii="Arial" w:cs="Arial" w:eastAsia="Arial" w:hAnsi="Arial"/>
                <w:sz w:val="25"/>
                <w:szCs w:val="25"/>
                <w:color w:val="071D49"/>
              </w:rPr>
              <w:t>●</w:t>
            </w:r>
          </w:p>
        </w:tc>
        <w:tc>
          <w:tcPr>
            <w:tcW w:w="500" w:type="dxa"/>
            <w:vAlign w:val="bottom"/>
            <w:shd w:val="clear" w:color="auto" w:fill="F2F2F2"/>
          </w:tcPr>
          <w:p>
            <w:pPr>
              <w:ind w:left="180"/>
              <w:spacing w:after="0"/>
              <w:rPr>
                <w:sz w:val="20"/>
                <w:szCs w:val="20"/>
                <w:color w:val="auto"/>
              </w:rPr>
            </w:pPr>
            <w:r>
              <w:rPr>
                <w:rFonts w:ascii="Arial" w:cs="Arial" w:eastAsia="Arial" w:hAnsi="Arial"/>
                <w:sz w:val="25"/>
                <w:szCs w:val="25"/>
                <w:color w:val="071D49"/>
              </w:rPr>
              <w:t>●</w:t>
            </w:r>
          </w:p>
        </w:tc>
        <w:tc>
          <w:tcPr>
            <w:tcW w:w="580" w:type="dxa"/>
            <w:vAlign w:val="bottom"/>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40" w:type="dxa"/>
            <w:vAlign w:val="bottom"/>
          </w:tcPr>
          <w:p>
            <w:pPr>
              <w:jc w:val="center"/>
              <w:spacing w:after="0"/>
              <w:rPr>
                <w:sz w:val="20"/>
                <w:szCs w:val="20"/>
                <w:color w:val="auto"/>
              </w:rPr>
            </w:pPr>
            <w:r>
              <w:rPr>
                <w:rFonts w:ascii="Arial" w:cs="Arial" w:eastAsia="Arial" w:hAnsi="Arial"/>
                <w:sz w:val="25"/>
                <w:szCs w:val="25"/>
                <w:color w:val="071D49"/>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tcPr>
          <w:p>
            <w:pPr>
              <w:jc w:val="center"/>
              <w:spacing w:after="0"/>
              <w:rPr>
                <w:sz w:val="20"/>
                <w:szCs w:val="20"/>
                <w:color w:val="auto"/>
              </w:rPr>
            </w:pPr>
            <w:r>
              <w:rPr>
                <w:rFonts w:ascii="Arial" w:cs="Arial" w:eastAsia="Arial" w:hAnsi="Arial"/>
                <w:sz w:val="25"/>
                <w:szCs w:val="25"/>
                <w:color w:val="071D49"/>
                <w:w w:val="92"/>
              </w:rPr>
              <w:t>●</w:t>
            </w:r>
          </w:p>
        </w:tc>
        <w:tc>
          <w:tcPr>
            <w:tcW w:w="0" w:type="dxa"/>
            <w:vAlign w:val="bottom"/>
          </w:tcPr>
          <w:p>
            <w:pPr>
              <w:spacing w:after="0"/>
              <w:rPr>
                <w:sz w:val="1"/>
                <w:szCs w:val="1"/>
                <w:color w:val="auto"/>
              </w:rPr>
            </w:pPr>
          </w:p>
        </w:tc>
      </w:tr>
      <w:tr>
        <w:trPr>
          <w:trHeight w:val="107"/>
        </w:trPr>
        <w:tc>
          <w:tcPr>
            <w:tcW w:w="80" w:type="dxa"/>
            <w:vAlign w:val="bottom"/>
            <w:tcBorders>
              <w:left w:val="single" w:sz="8" w:color="071D49"/>
            </w:tcBorders>
          </w:tcPr>
          <w:p>
            <w:pPr>
              <w:spacing w:after="0"/>
              <w:rPr>
                <w:sz w:val="9"/>
                <w:szCs w:val="9"/>
                <w:color w:val="auto"/>
              </w:rPr>
            </w:pPr>
          </w:p>
        </w:tc>
        <w:tc>
          <w:tcPr>
            <w:tcW w:w="940" w:type="dxa"/>
            <w:vAlign w:val="bottom"/>
            <w:tcBorders>
              <w:bottom w:val="single" w:sz="8" w:color="071D49"/>
            </w:tcBorders>
          </w:tcPr>
          <w:p>
            <w:pPr>
              <w:spacing w:after="0"/>
              <w:rPr>
                <w:sz w:val="9"/>
                <w:szCs w:val="9"/>
                <w:color w:val="auto"/>
              </w:rPr>
            </w:pPr>
          </w:p>
        </w:tc>
        <w:tc>
          <w:tcPr>
            <w:tcW w:w="680" w:type="dxa"/>
            <w:vAlign w:val="bottom"/>
            <w:tcBorders>
              <w:bottom w:val="single" w:sz="8" w:color="071D49"/>
            </w:tcBorders>
            <w:shd w:val="clear" w:color="auto" w:fill="F2F2F2"/>
          </w:tcPr>
          <w:p>
            <w:pPr>
              <w:spacing w:after="0"/>
              <w:rPr>
                <w:sz w:val="9"/>
                <w:szCs w:val="9"/>
                <w:color w:val="auto"/>
              </w:rPr>
            </w:pPr>
          </w:p>
        </w:tc>
        <w:tc>
          <w:tcPr>
            <w:tcW w:w="620" w:type="dxa"/>
            <w:vAlign w:val="bottom"/>
            <w:tcBorders>
              <w:bottom w:val="single" w:sz="8" w:color="071D49"/>
            </w:tcBorders>
          </w:tcPr>
          <w:p>
            <w:pPr>
              <w:spacing w:after="0"/>
              <w:rPr>
                <w:sz w:val="9"/>
                <w:szCs w:val="9"/>
                <w:color w:val="auto"/>
              </w:rPr>
            </w:pPr>
          </w:p>
        </w:tc>
        <w:tc>
          <w:tcPr>
            <w:tcW w:w="920" w:type="dxa"/>
            <w:vAlign w:val="bottom"/>
            <w:tcBorders>
              <w:bottom w:val="single" w:sz="8" w:color="071D49"/>
            </w:tcBorders>
            <w:shd w:val="clear" w:color="auto" w:fill="F2F2F2"/>
          </w:tcPr>
          <w:p>
            <w:pPr>
              <w:spacing w:after="0"/>
              <w:rPr>
                <w:sz w:val="9"/>
                <w:szCs w:val="9"/>
                <w:color w:val="auto"/>
              </w:rPr>
            </w:pPr>
          </w:p>
        </w:tc>
        <w:tc>
          <w:tcPr>
            <w:tcW w:w="880" w:type="dxa"/>
            <w:vAlign w:val="bottom"/>
            <w:tcBorders>
              <w:bottom w:val="single" w:sz="8" w:color="071D49"/>
            </w:tcBorders>
          </w:tcPr>
          <w:p>
            <w:pPr>
              <w:spacing w:after="0"/>
              <w:rPr>
                <w:sz w:val="9"/>
                <w:szCs w:val="9"/>
                <w:color w:val="auto"/>
              </w:rPr>
            </w:pPr>
          </w:p>
        </w:tc>
        <w:tc>
          <w:tcPr>
            <w:tcW w:w="880" w:type="dxa"/>
            <w:vAlign w:val="bottom"/>
            <w:tcBorders>
              <w:bottom w:val="single" w:sz="8" w:color="071D49"/>
            </w:tcBorders>
            <w:shd w:val="clear" w:color="auto" w:fill="F2F2F2"/>
          </w:tcPr>
          <w:p>
            <w:pPr>
              <w:spacing w:after="0"/>
              <w:rPr>
                <w:sz w:val="9"/>
                <w:szCs w:val="9"/>
                <w:color w:val="auto"/>
              </w:rPr>
            </w:pPr>
          </w:p>
        </w:tc>
        <w:tc>
          <w:tcPr>
            <w:tcW w:w="440" w:type="dxa"/>
            <w:vAlign w:val="bottom"/>
            <w:tcBorders>
              <w:bottom w:val="single" w:sz="8" w:color="071D49"/>
            </w:tcBorders>
          </w:tcPr>
          <w:p>
            <w:pPr>
              <w:spacing w:after="0"/>
              <w:rPr>
                <w:sz w:val="9"/>
                <w:szCs w:val="9"/>
                <w:color w:val="auto"/>
              </w:rPr>
            </w:pPr>
          </w:p>
        </w:tc>
        <w:tc>
          <w:tcPr>
            <w:tcW w:w="500" w:type="dxa"/>
            <w:vAlign w:val="bottom"/>
            <w:tcBorders>
              <w:bottom w:val="single" w:sz="8" w:color="071D49"/>
            </w:tcBorders>
            <w:shd w:val="clear" w:color="auto" w:fill="F2F2F2"/>
          </w:tcPr>
          <w:p>
            <w:pPr>
              <w:spacing w:after="0"/>
              <w:rPr>
                <w:sz w:val="9"/>
                <w:szCs w:val="9"/>
                <w:color w:val="auto"/>
              </w:rPr>
            </w:pPr>
          </w:p>
        </w:tc>
        <w:tc>
          <w:tcPr>
            <w:tcW w:w="580" w:type="dxa"/>
            <w:vAlign w:val="bottom"/>
            <w:tcBorders>
              <w:bottom w:val="single" w:sz="8" w:color="071D49"/>
            </w:tcBorders>
          </w:tcPr>
          <w:p>
            <w:pPr>
              <w:spacing w:after="0"/>
              <w:rPr>
                <w:sz w:val="9"/>
                <w:szCs w:val="9"/>
                <w:color w:val="auto"/>
              </w:rPr>
            </w:pPr>
          </w:p>
        </w:tc>
        <w:tc>
          <w:tcPr>
            <w:tcW w:w="440" w:type="dxa"/>
            <w:vAlign w:val="bottom"/>
            <w:tcBorders>
              <w:bottom w:val="single" w:sz="8" w:color="071D49"/>
            </w:tcBorders>
            <w:shd w:val="clear" w:color="auto" w:fill="F2F2F2"/>
          </w:tcPr>
          <w:p>
            <w:pPr>
              <w:spacing w:after="0"/>
              <w:rPr>
                <w:sz w:val="9"/>
                <w:szCs w:val="9"/>
                <w:color w:val="auto"/>
              </w:rPr>
            </w:pPr>
          </w:p>
        </w:tc>
        <w:tc>
          <w:tcPr>
            <w:tcW w:w="840" w:type="dxa"/>
            <w:vAlign w:val="bottom"/>
            <w:tcBorders>
              <w:bottom w:val="single" w:sz="8" w:color="071D49"/>
            </w:tcBorders>
          </w:tcPr>
          <w:p>
            <w:pPr>
              <w:spacing w:after="0"/>
              <w:rPr>
                <w:sz w:val="9"/>
                <w:szCs w:val="9"/>
                <w:color w:val="auto"/>
              </w:rPr>
            </w:pPr>
          </w:p>
        </w:tc>
        <w:tc>
          <w:tcPr>
            <w:tcW w:w="600" w:type="dxa"/>
            <w:vAlign w:val="bottom"/>
            <w:tcBorders>
              <w:bottom w:val="single" w:sz="8" w:color="071D49"/>
            </w:tcBorders>
            <w:shd w:val="clear" w:color="auto" w:fill="F2F2F2"/>
          </w:tcPr>
          <w:p>
            <w:pPr>
              <w:spacing w:after="0"/>
              <w:rPr>
                <w:sz w:val="9"/>
                <w:szCs w:val="9"/>
                <w:color w:val="auto"/>
              </w:rPr>
            </w:pPr>
          </w:p>
        </w:tc>
        <w:tc>
          <w:tcPr>
            <w:tcW w:w="8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80" w:type="dxa"/>
            <w:vAlign w:val="bottom"/>
            <w:tcBorders>
              <w:left w:val="single" w:sz="8" w:color="071D49"/>
            </w:tcBorders>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Global</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62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tcPr>
          <w:p>
            <w:pPr>
              <w:ind w:left="160"/>
              <w:spacing w:after="0"/>
              <w:rPr>
                <w:sz w:val="20"/>
                <w:szCs w:val="20"/>
                <w:color w:val="auto"/>
              </w:rPr>
            </w:pPr>
            <w:r>
              <w:rPr>
                <w:rFonts w:ascii="Arial" w:cs="Arial" w:eastAsia="Arial" w:hAnsi="Arial"/>
                <w:sz w:val="25"/>
                <w:szCs w:val="25"/>
                <w:color w:val="071D49"/>
              </w:rPr>
              <w:t>●</w:t>
            </w:r>
          </w:p>
        </w:tc>
        <w:tc>
          <w:tcPr>
            <w:tcW w:w="500" w:type="dxa"/>
            <w:vAlign w:val="bottom"/>
            <w:vMerge w:val="restart"/>
            <w:shd w:val="clear" w:color="auto" w:fill="F2F2F2"/>
          </w:tcPr>
          <w:p>
            <w:pPr>
              <w:ind w:left="180"/>
              <w:spacing w:after="0"/>
              <w:rPr>
                <w:sz w:val="20"/>
                <w:szCs w:val="20"/>
                <w:color w:val="auto"/>
              </w:rPr>
            </w:pPr>
            <w:r>
              <w:rPr>
                <w:rFonts w:ascii="Arial" w:cs="Arial" w:eastAsia="Arial" w:hAnsi="Arial"/>
                <w:sz w:val="25"/>
                <w:szCs w:val="25"/>
                <w:color w:val="071D49"/>
              </w:rPr>
              <w:t>●</w:t>
            </w:r>
          </w:p>
        </w:tc>
        <w:tc>
          <w:tcPr>
            <w:tcW w:w="5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4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60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0" w:type="dxa"/>
            <w:vAlign w:val="bottom"/>
          </w:tcPr>
          <w:p>
            <w:pPr>
              <w:spacing w:after="0"/>
              <w:rPr>
                <w:sz w:val="1"/>
                <w:szCs w:val="1"/>
                <w:color w:val="auto"/>
              </w:rPr>
            </w:pPr>
          </w:p>
        </w:tc>
      </w:tr>
      <w:tr>
        <w:trPr>
          <w:trHeight w:val="170"/>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Business</w:t>
            </w:r>
          </w:p>
        </w:tc>
        <w:tc>
          <w:tcPr>
            <w:tcW w:w="680" w:type="dxa"/>
            <w:vAlign w:val="bottom"/>
            <w:vMerge w:val="continue"/>
            <w:shd w:val="clear" w:color="auto" w:fill="F2F2F2"/>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vMerge w:val="continue"/>
            <w:shd w:val="clear" w:color="auto" w:fill="F2F2F2"/>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vMerge w:val="continue"/>
            <w:shd w:val="clear" w:color="auto" w:fill="F2F2F2"/>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shd w:val="clear" w:color="auto" w:fill="F2F2F2"/>
          </w:tcPr>
          <w:p>
            <w:pPr>
              <w:spacing w:after="0"/>
              <w:rPr>
                <w:sz w:val="14"/>
                <w:szCs w:val="14"/>
                <w:color w:val="auto"/>
              </w:rPr>
            </w:pPr>
          </w:p>
        </w:tc>
        <w:tc>
          <w:tcPr>
            <w:tcW w:w="840" w:type="dxa"/>
            <w:vAlign w:val="bottom"/>
            <w:vMerge w:val="continue"/>
          </w:tcPr>
          <w:p>
            <w:pPr>
              <w:spacing w:after="0"/>
              <w:rPr>
                <w:sz w:val="14"/>
                <w:szCs w:val="14"/>
                <w:color w:val="auto"/>
              </w:rPr>
            </w:pPr>
          </w:p>
        </w:tc>
        <w:tc>
          <w:tcPr>
            <w:tcW w:w="600" w:type="dxa"/>
            <w:vAlign w:val="bottom"/>
            <w:vMerge w:val="continue"/>
            <w:shd w:val="clear" w:color="auto" w:fill="F2F2F2"/>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&amp; Strategy</w:t>
            </w:r>
          </w:p>
        </w:tc>
        <w:tc>
          <w:tcPr>
            <w:tcW w:w="680" w:type="dxa"/>
            <w:vAlign w:val="bottom"/>
            <w:shd w:val="clear" w:color="auto" w:fill="F2F2F2"/>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shd w:val="clear" w:color="auto" w:fill="F2F2F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80" w:type="dxa"/>
            <w:vAlign w:val="bottom"/>
            <w:tcBorders>
              <w:left w:val="single" w:sz="8" w:color="071D49"/>
            </w:tcBorders>
          </w:tcPr>
          <w:p>
            <w:pPr>
              <w:spacing w:after="0"/>
              <w:rPr>
                <w:sz w:val="5"/>
                <w:szCs w:val="5"/>
                <w:color w:val="auto"/>
              </w:rPr>
            </w:pPr>
          </w:p>
        </w:tc>
        <w:tc>
          <w:tcPr>
            <w:tcW w:w="940" w:type="dxa"/>
            <w:vAlign w:val="bottom"/>
            <w:tcBorders>
              <w:bottom w:val="single" w:sz="8" w:color="071D49"/>
            </w:tcBorders>
          </w:tcPr>
          <w:p>
            <w:pPr>
              <w:spacing w:after="0"/>
              <w:rPr>
                <w:sz w:val="5"/>
                <w:szCs w:val="5"/>
                <w:color w:val="auto"/>
              </w:rPr>
            </w:pPr>
          </w:p>
        </w:tc>
        <w:tc>
          <w:tcPr>
            <w:tcW w:w="680" w:type="dxa"/>
            <w:vAlign w:val="bottom"/>
            <w:tcBorders>
              <w:bottom w:val="single" w:sz="8" w:color="071D49"/>
            </w:tcBorders>
            <w:shd w:val="clear" w:color="auto" w:fill="F2F2F2"/>
          </w:tcPr>
          <w:p>
            <w:pPr>
              <w:spacing w:after="0"/>
              <w:rPr>
                <w:sz w:val="5"/>
                <w:szCs w:val="5"/>
                <w:color w:val="auto"/>
              </w:rPr>
            </w:pPr>
          </w:p>
        </w:tc>
        <w:tc>
          <w:tcPr>
            <w:tcW w:w="620" w:type="dxa"/>
            <w:vAlign w:val="bottom"/>
            <w:tcBorders>
              <w:bottom w:val="single" w:sz="8" w:color="071D49"/>
            </w:tcBorders>
          </w:tcPr>
          <w:p>
            <w:pPr>
              <w:spacing w:after="0"/>
              <w:rPr>
                <w:sz w:val="5"/>
                <w:szCs w:val="5"/>
                <w:color w:val="auto"/>
              </w:rPr>
            </w:pPr>
          </w:p>
        </w:tc>
        <w:tc>
          <w:tcPr>
            <w:tcW w:w="920" w:type="dxa"/>
            <w:vAlign w:val="bottom"/>
            <w:tcBorders>
              <w:bottom w:val="single" w:sz="8" w:color="071D49"/>
            </w:tcBorders>
            <w:shd w:val="clear" w:color="auto" w:fill="F2F2F2"/>
          </w:tcPr>
          <w:p>
            <w:pPr>
              <w:spacing w:after="0"/>
              <w:rPr>
                <w:sz w:val="5"/>
                <w:szCs w:val="5"/>
                <w:color w:val="auto"/>
              </w:rPr>
            </w:pPr>
          </w:p>
        </w:tc>
        <w:tc>
          <w:tcPr>
            <w:tcW w:w="880" w:type="dxa"/>
            <w:vAlign w:val="bottom"/>
            <w:tcBorders>
              <w:bottom w:val="single" w:sz="8" w:color="071D49"/>
            </w:tcBorders>
          </w:tcPr>
          <w:p>
            <w:pPr>
              <w:spacing w:after="0"/>
              <w:rPr>
                <w:sz w:val="5"/>
                <w:szCs w:val="5"/>
                <w:color w:val="auto"/>
              </w:rPr>
            </w:pPr>
          </w:p>
        </w:tc>
        <w:tc>
          <w:tcPr>
            <w:tcW w:w="880" w:type="dxa"/>
            <w:vAlign w:val="bottom"/>
            <w:tcBorders>
              <w:bottom w:val="single" w:sz="8" w:color="071D49"/>
            </w:tcBorders>
            <w:shd w:val="clear" w:color="auto" w:fill="F2F2F2"/>
          </w:tcPr>
          <w:p>
            <w:pPr>
              <w:spacing w:after="0"/>
              <w:rPr>
                <w:sz w:val="5"/>
                <w:szCs w:val="5"/>
                <w:color w:val="auto"/>
              </w:rPr>
            </w:pPr>
          </w:p>
        </w:tc>
        <w:tc>
          <w:tcPr>
            <w:tcW w:w="440" w:type="dxa"/>
            <w:vAlign w:val="bottom"/>
            <w:tcBorders>
              <w:bottom w:val="single" w:sz="8" w:color="071D49"/>
            </w:tcBorders>
          </w:tcPr>
          <w:p>
            <w:pPr>
              <w:spacing w:after="0"/>
              <w:rPr>
                <w:sz w:val="5"/>
                <w:szCs w:val="5"/>
                <w:color w:val="auto"/>
              </w:rPr>
            </w:pPr>
          </w:p>
        </w:tc>
        <w:tc>
          <w:tcPr>
            <w:tcW w:w="500" w:type="dxa"/>
            <w:vAlign w:val="bottom"/>
            <w:tcBorders>
              <w:bottom w:val="single" w:sz="8" w:color="071D49"/>
            </w:tcBorders>
            <w:shd w:val="clear" w:color="auto" w:fill="F2F2F2"/>
          </w:tcPr>
          <w:p>
            <w:pPr>
              <w:spacing w:after="0"/>
              <w:rPr>
                <w:sz w:val="5"/>
                <w:szCs w:val="5"/>
                <w:color w:val="auto"/>
              </w:rPr>
            </w:pPr>
          </w:p>
        </w:tc>
        <w:tc>
          <w:tcPr>
            <w:tcW w:w="580" w:type="dxa"/>
            <w:vAlign w:val="bottom"/>
            <w:tcBorders>
              <w:bottom w:val="single" w:sz="8" w:color="071D49"/>
            </w:tcBorders>
          </w:tcPr>
          <w:p>
            <w:pPr>
              <w:spacing w:after="0"/>
              <w:rPr>
                <w:sz w:val="5"/>
                <w:szCs w:val="5"/>
                <w:color w:val="auto"/>
              </w:rPr>
            </w:pPr>
          </w:p>
        </w:tc>
        <w:tc>
          <w:tcPr>
            <w:tcW w:w="440" w:type="dxa"/>
            <w:vAlign w:val="bottom"/>
            <w:tcBorders>
              <w:bottom w:val="single" w:sz="8" w:color="071D49"/>
            </w:tcBorders>
            <w:shd w:val="clear" w:color="auto" w:fill="F2F2F2"/>
          </w:tcPr>
          <w:p>
            <w:pPr>
              <w:spacing w:after="0"/>
              <w:rPr>
                <w:sz w:val="5"/>
                <w:szCs w:val="5"/>
                <w:color w:val="auto"/>
              </w:rPr>
            </w:pPr>
          </w:p>
        </w:tc>
        <w:tc>
          <w:tcPr>
            <w:tcW w:w="840" w:type="dxa"/>
            <w:vAlign w:val="bottom"/>
            <w:tcBorders>
              <w:bottom w:val="single" w:sz="8" w:color="071D49"/>
            </w:tcBorders>
          </w:tcPr>
          <w:p>
            <w:pPr>
              <w:spacing w:after="0"/>
              <w:rPr>
                <w:sz w:val="5"/>
                <w:szCs w:val="5"/>
                <w:color w:val="auto"/>
              </w:rPr>
            </w:pPr>
          </w:p>
        </w:tc>
        <w:tc>
          <w:tcPr>
            <w:tcW w:w="600" w:type="dxa"/>
            <w:vAlign w:val="bottom"/>
            <w:tcBorders>
              <w:bottom w:val="single" w:sz="8" w:color="071D49"/>
            </w:tcBorders>
            <w:shd w:val="clear" w:color="auto" w:fill="F2F2F2"/>
          </w:tcPr>
          <w:p>
            <w:pPr>
              <w:spacing w:after="0"/>
              <w:rPr>
                <w:sz w:val="5"/>
                <w:szCs w:val="5"/>
                <w:color w:val="auto"/>
              </w:rPr>
            </w:pPr>
          </w:p>
        </w:tc>
        <w:tc>
          <w:tcPr>
            <w:tcW w:w="880" w:type="dxa"/>
            <w:vAlign w:val="bottom"/>
            <w:tcBorders>
              <w:bottom w:val="single" w:sz="8" w:color="071D49"/>
            </w:tcBorders>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80" w:type="dxa"/>
            <w:vAlign w:val="bottom"/>
            <w:tcBorders>
              <w:left w:val="single" w:sz="8" w:color="071D49"/>
            </w:tcBorders>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Corporate</w:t>
            </w:r>
          </w:p>
        </w:tc>
        <w:tc>
          <w:tcPr>
            <w:tcW w:w="680" w:type="dxa"/>
            <w:vAlign w:val="bottom"/>
            <w:shd w:val="clear" w:color="auto" w:fill="F2F2F2"/>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shd w:val="clear" w:color="auto" w:fill="F2F2F2"/>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shd w:val="clear" w:color="auto" w:fill="F2F2F2"/>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shd w:val="clear" w:color="auto" w:fill="F2F2F2"/>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071D49"/>
            </w:tcBorders>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Governance &amp;</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62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tcPr>
          <w:p>
            <w:pPr>
              <w:ind w:left="160"/>
              <w:spacing w:after="0"/>
              <w:rPr>
                <w:sz w:val="20"/>
                <w:szCs w:val="20"/>
                <w:color w:val="auto"/>
              </w:rPr>
            </w:pPr>
            <w:r>
              <w:rPr>
                <w:rFonts w:ascii="Arial" w:cs="Arial" w:eastAsia="Arial" w:hAnsi="Arial"/>
                <w:sz w:val="25"/>
                <w:szCs w:val="25"/>
                <w:color w:val="071D49"/>
              </w:rPr>
              <w:t>●</w:t>
            </w:r>
          </w:p>
        </w:tc>
        <w:tc>
          <w:tcPr>
            <w:tcW w:w="500" w:type="dxa"/>
            <w:vAlign w:val="bottom"/>
            <w:vMerge w:val="restart"/>
            <w:shd w:val="clear" w:color="auto" w:fill="F2F2F2"/>
          </w:tcPr>
          <w:p>
            <w:pPr>
              <w:ind w:left="180"/>
              <w:spacing w:after="0"/>
              <w:rPr>
                <w:sz w:val="20"/>
                <w:szCs w:val="20"/>
                <w:color w:val="auto"/>
              </w:rPr>
            </w:pPr>
            <w:r>
              <w:rPr>
                <w:rFonts w:ascii="Arial" w:cs="Arial" w:eastAsia="Arial" w:hAnsi="Arial"/>
                <w:sz w:val="25"/>
                <w:szCs w:val="25"/>
                <w:color w:val="071D49"/>
              </w:rPr>
              <w:t>●</w:t>
            </w:r>
          </w:p>
        </w:tc>
        <w:tc>
          <w:tcPr>
            <w:tcW w:w="5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4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60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0" w:type="dxa"/>
            <w:vAlign w:val="bottom"/>
          </w:tcPr>
          <w:p>
            <w:pPr>
              <w:spacing w:after="0"/>
              <w:rPr>
                <w:sz w:val="1"/>
                <w:szCs w:val="1"/>
                <w:color w:val="auto"/>
              </w:rPr>
            </w:pPr>
          </w:p>
        </w:tc>
      </w:tr>
      <w:tr>
        <w:trPr>
          <w:trHeight w:val="170"/>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Public</w:t>
            </w:r>
          </w:p>
        </w:tc>
        <w:tc>
          <w:tcPr>
            <w:tcW w:w="680" w:type="dxa"/>
            <w:vAlign w:val="bottom"/>
            <w:vMerge w:val="continue"/>
            <w:shd w:val="clear" w:color="auto" w:fill="F2F2F2"/>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vMerge w:val="continue"/>
            <w:shd w:val="clear" w:color="auto" w:fill="F2F2F2"/>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440" w:type="dxa"/>
            <w:vAlign w:val="bottom"/>
            <w:vMerge w:val="continue"/>
          </w:tcPr>
          <w:p>
            <w:pPr>
              <w:spacing w:after="0"/>
              <w:rPr>
                <w:sz w:val="14"/>
                <w:szCs w:val="14"/>
                <w:color w:val="auto"/>
              </w:rPr>
            </w:pPr>
          </w:p>
        </w:tc>
        <w:tc>
          <w:tcPr>
            <w:tcW w:w="500" w:type="dxa"/>
            <w:vAlign w:val="bottom"/>
            <w:vMerge w:val="continue"/>
            <w:shd w:val="clear" w:color="auto" w:fill="F2F2F2"/>
          </w:tcPr>
          <w:p>
            <w:pPr>
              <w:spacing w:after="0"/>
              <w:rPr>
                <w:sz w:val="14"/>
                <w:szCs w:val="14"/>
                <w:color w:val="auto"/>
              </w:rPr>
            </w:pPr>
          </w:p>
        </w:tc>
        <w:tc>
          <w:tcPr>
            <w:tcW w:w="580" w:type="dxa"/>
            <w:vAlign w:val="bottom"/>
            <w:vMerge w:val="continue"/>
          </w:tcPr>
          <w:p>
            <w:pPr>
              <w:spacing w:after="0"/>
              <w:rPr>
                <w:sz w:val="14"/>
                <w:szCs w:val="14"/>
                <w:color w:val="auto"/>
              </w:rPr>
            </w:pPr>
          </w:p>
        </w:tc>
        <w:tc>
          <w:tcPr>
            <w:tcW w:w="440" w:type="dxa"/>
            <w:vAlign w:val="bottom"/>
            <w:vMerge w:val="continue"/>
            <w:shd w:val="clear" w:color="auto" w:fill="F2F2F2"/>
          </w:tcPr>
          <w:p>
            <w:pPr>
              <w:spacing w:after="0"/>
              <w:rPr>
                <w:sz w:val="14"/>
                <w:szCs w:val="14"/>
                <w:color w:val="auto"/>
              </w:rPr>
            </w:pPr>
          </w:p>
        </w:tc>
        <w:tc>
          <w:tcPr>
            <w:tcW w:w="840" w:type="dxa"/>
            <w:vAlign w:val="bottom"/>
            <w:vMerge w:val="continue"/>
          </w:tcPr>
          <w:p>
            <w:pPr>
              <w:spacing w:after="0"/>
              <w:rPr>
                <w:sz w:val="14"/>
                <w:szCs w:val="14"/>
                <w:color w:val="auto"/>
              </w:rPr>
            </w:pPr>
          </w:p>
        </w:tc>
        <w:tc>
          <w:tcPr>
            <w:tcW w:w="600" w:type="dxa"/>
            <w:vAlign w:val="bottom"/>
            <w:vMerge w:val="continue"/>
            <w:shd w:val="clear" w:color="auto" w:fill="F2F2F2"/>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80" w:type="dxa"/>
            <w:vAlign w:val="bottom"/>
            <w:tcBorders>
              <w:left w:val="single" w:sz="8" w:color="071D49"/>
            </w:tcBorders>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Company</w:t>
            </w:r>
          </w:p>
        </w:tc>
        <w:tc>
          <w:tcPr>
            <w:tcW w:w="680" w:type="dxa"/>
            <w:vAlign w:val="bottom"/>
            <w:shd w:val="clear" w:color="auto" w:fill="F2F2F2"/>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shd w:val="clear" w:color="auto" w:fill="F2F2F2"/>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shd w:val="clear" w:color="auto" w:fill="F2F2F2"/>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shd w:val="clear" w:color="auto" w:fill="F2F2F2"/>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shd w:val="clear" w:color="auto" w:fill="F2F2F2"/>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Board</w:t>
            </w:r>
          </w:p>
        </w:tc>
        <w:tc>
          <w:tcPr>
            <w:tcW w:w="680" w:type="dxa"/>
            <w:vAlign w:val="bottom"/>
            <w:shd w:val="clear" w:color="auto" w:fill="F2F2F2"/>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shd w:val="clear" w:color="auto" w:fill="F2F2F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80" w:type="dxa"/>
            <w:vAlign w:val="bottom"/>
            <w:tcBorders>
              <w:left w:val="single" w:sz="8" w:color="071D49"/>
            </w:tcBorders>
          </w:tcPr>
          <w:p>
            <w:pPr>
              <w:spacing w:after="0"/>
              <w:rPr>
                <w:sz w:val="9"/>
                <w:szCs w:val="9"/>
                <w:color w:val="auto"/>
              </w:rPr>
            </w:pPr>
          </w:p>
        </w:tc>
        <w:tc>
          <w:tcPr>
            <w:tcW w:w="940" w:type="dxa"/>
            <w:vAlign w:val="bottom"/>
            <w:tcBorders>
              <w:bottom w:val="single" w:sz="8" w:color="071D49"/>
            </w:tcBorders>
          </w:tcPr>
          <w:p>
            <w:pPr>
              <w:spacing w:after="0"/>
              <w:rPr>
                <w:sz w:val="9"/>
                <w:szCs w:val="9"/>
                <w:color w:val="auto"/>
              </w:rPr>
            </w:pPr>
          </w:p>
        </w:tc>
        <w:tc>
          <w:tcPr>
            <w:tcW w:w="680" w:type="dxa"/>
            <w:vAlign w:val="bottom"/>
            <w:tcBorders>
              <w:bottom w:val="single" w:sz="8" w:color="071D49"/>
            </w:tcBorders>
            <w:shd w:val="clear" w:color="auto" w:fill="F2F2F2"/>
          </w:tcPr>
          <w:p>
            <w:pPr>
              <w:spacing w:after="0"/>
              <w:rPr>
                <w:sz w:val="9"/>
                <w:szCs w:val="9"/>
                <w:color w:val="auto"/>
              </w:rPr>
            </w:pPr>
          </w:p>
        </w:tc>
        <w:tc>
          <w:tcPr>
            <w:tcW w:w="620" w:type="dxa"/>
            <w:vAlign w:val="bottom"/>
            <w:tcBorders>
              <w:bottom w:val="single" w:sz="8" w:color="071D49"/>
            </w:tcBorders>
          </w:tcPr>
          <w:p>
            <w:pPr>
              <w:spacing w:after="0"/>
              <w:rPr>
                <w:sz w:val="9"/>
                <w:szCs w:val="9"/>
                <w:color w:val="auto"/>
              </w:rPr>
            </w:pPr>
          </w:p>
        </w:tc>
        <w:tc>
          <w:tcPr>
            <w:tcW w:w="920" w:type="dxa"/>
            <w:vAlign w:val="bottom"/>
            <w:tcBorders>
              <w:bottom w:val="single" w:sz="8" w:color="071D49"/>
            </w:tcBorders>
            <w:shd w:val="clear" w:color="auto" w:fill="F2F2F2"/>
          </w:tcPr>
          <w:p>
            <w:pPr>
              <w:spacing w:after="0"/>
              <w:rPr>
                <w:sz w:val="9"/>
                <w:szCs w:val="9"/>
                <w:color w:val="auto"/>
              </w:rPr>
            </w:pPr>
          </w:p>
        </w:tc>
        <w:tc>
          <w:tcPr>
            <w:tcW w:w="880" w:type="dxa"/>
            <w:vAlign w:val="bottom"/>
            <w:tcBorders>
              <w:bottom w:val="single" w:sz="8" w:color="071D49"/>
            </w:tcBorders>
          </w:tcPr>
          <w:p>
            <w:pPr>
              <w:spacing w:after="0"/>
              <w:rPr>
                <w:sz w:val="9"/>
                <w:szCs w:val="9"/>
                <w:color w:val="auto"/>
              </w:rPr>
            </w:pPr>
          </w:p>
        </w:tc>
        <w:tc>
          <w:tcPr>
            <w:tcW w:w="880" w:type="dxa"/>
            <w:vAlign w:val="bottom"/>
            <w:tcBorders>
              <w:bottom w:val="single" w:sz="8" w:color="071D49"/>
            </w:tcBorders>
            <w:shd w:val="clear" w:color="auto" w:fill="F2F2F2"/>
          </w:tcPr>
          <w:p>
            <w:pPr>
              <w:spacing w:after="0"/>
              <w:rPr>
                <w:sz w:val="9"/>
                <w:szCs w:val="9"/>
                <w:color w:val="auto"/>
              </w:rPr>
            </w:pPr>
          </w:p>
        </w:tc>
        <w:tc>
          <w:tcPr>
            <w:tcW w:w="440" w:type="dxa"/>
            <w:vAlign w:val="bottom"/>
            <w:tcBorders>
              <w:bottom w:val="single" w:sz="8" w:color="071D49"/>
            </w:tcBorders>
          </w:tcPr>
          <w:p>
            <w:pPr>
              <w:spacing w:after="0"/>
              <w:rPr>
                <w:sz w:val="9"/>
                <w:szCs w:val="9"/>
                <w:color w:val="auto"/>
              </w:rPr>
            </w:pPr>
          </w:p>
        </w:tc>
        <w:tc>
          <w:tcPr>
            <w:tcW w:w="500" w:type="dxa"/>
            <w:vAlign w:val="bottom"/>
            <w:tcBorders>
              <w:bottom w:val="single" w:sz="8" w:color="071D49"/>
            </w:tcBorders>
            <w:shd w:val="clear" w:color="auto" w:fill="F2F2F2"/>
          </w:tcPr>
          <w:p>
            <w:pPr>
              <w:spacing w:after="0"/>
              <w:rPr>
                <w:sz w:val="9"/>
                <w:szCs w:val="9"/>
                <w:color w:val="auto"/>
              </w:rPr>
            </w:pPr>
          </w:p>
        </w:tc>
        <w:tc>
          <w:tcPr>
            <w:tcW w:w="580" w:type="dxa"/>
            <w:vAlign w:val="bottom"/>
            <w:tcBorders>
              <w:bottom w:val="single" w:sz="8" w:color="071D49"/>
            </w:tcBorders>
          </w:tcPr>
          <w:p>
            <w:pPr>
              <w:spacing w:after="0"/>
              <w:rPr>
                <w:sz w:val="9"/>
                <w:szCs w:val="9"/>
                <w:color w:val="auto"/>
              </w:rPr>
            </w:pPr>
          </w:p>
        </w:tc>
        <w:tc>
          <w:tcPr>
            <w:tcW w:w="440" w:type="dxa"/>
            <w:vAlign w:val="bottom"/>
            <w:tcBorders>
              <w:bottom w:val="single" w:sz="8" w:color="071D49"/>
            </w:tcBorders>
            <w:shd w:val="clear" w:color="auto" w:fill="F2F2F2"/>
          </w:tcPr>
          <w:p>
            <w:pPr>
              <w:spacing w:after="0"/>
              <w:rPr>
                <w:sz w:val="9"/>
                <w:szCs w:val="9"/>
                <w:color w:val="auto"/>
              </w:rPr>
            </w:pPr>
          </w:p>
        </w:tc>
        <w:tc>
          <w:tcPr>
            <w:tcW w:w="840" w:type="dxa"/>
            <w:vAlign w:val="bottom"/>
            <w:tcBorders>
              <w:bottom w:val="single" w:sz="8" w:color="071D49"/>
            </w:tcBorders>
          </w:tcPr>
          <w:p>
            <w:pPr>
              <w:spacing w:after="0"/>
              <w:rPr>
                <w:sz w:val="9"/>
                <w:szCs w:val="9"/>
                <w:color w:val="auto"/>
              </w:rPr>
            </w:pPr>
          </w:p>
        </w:tc>
        <w:tc>
          <w:tcPr>
            <w:tcW w:w="600" w:type="dxa"/>
            <w:vAlign w:val="bottom"/>
            <w:tcBorders>
              <w:bottom w:val="single" w:sz="8" w:color="071D49"/>
            </w:tcBorders>
            <w:shd w:val="clear" w:color="auto" w:fill="F2F2F2"/>
          </w:tcPr>
          <w:p>
            <w:pPr>
              <w:spacing w:after="0"/>
              <w:rPr>
                <w:sz w:val="9"/>
                <w:szCs w:val="9"/>
                <w:color w:val="auto"/>
              </w:rPr>
            </w:pPr>
          </w:p>
        </w:tc>
        <w:tc>
          <w:tcPr>
            <w:tcW w:w="8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0" w:type="dxa"/>
            <w:vAlign w:val="bottom"/>
            <w:tcBorders>
              <w:left w:val="single" w:sz="8" w:color="071D49"/>
            </w:tcBorders>
          </w:tcPr>
          <w:p>
            <w:pPr>
              <w:spacing w:after="0"/>
              <w:rPr>
                <w:sz w:val="10"/>
                <w:szCs w:val="10"/>
                <w:color w:val="auto"/>
              </w:rPr>
            </w:pPr>
          </w:p>
        </w:tc>
        <w:tc>
          <w:tcPr>
            <w:tcW w:w="9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Accounting</w:t>
            </w:r>
          </w:p>
        </w:tc>
        <w:tc>
          <w:tcPr>
            <w:tcW w:w="680" w:type="dxa"/>
            <w:vAlign w:val="bottom"/>
            <w:shd w:val="clear" w:color="auto" w:fill="F2F2F2"/>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92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88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88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440" w:type="dxa"/>
            <w:vAlign w:val="bottom"/>
          </w:tcPr>
          <w:p>
            <w:pPr>
              <w:spacing w:after="0"/>
              <w:rPr>
                <w:sz w:val="10"/>
                <w:szCs w:val="10"/>
                <w:color w:val="auto"/>
              </w:rPr>
            </w:pPr>
          </w:p>
        </w:tc>
        <w:tc>
          <w:tcPr>
            <w:tcW w:w="500" w:type="dxa"/>
            <w:vAlign w:val="bottom"/>
            <w:shd w:val="clear" w:color="auto" w:fill="F2F2F2"/>
          </w:tcPr>
          <w:p>
            <w:pPr>
              <w:ind w:left="180"/>
              <w:spacing w:after="0" w:line="116" w:lineRule="exact"/>
              <w:rPr>
                <w:sz w:val="20"/>
                <w:szCs w:val="20"/>
                <w:color w:val="auto"/>
              </w:rPr>
            </w:pPr>
            <w:r>
              <w:rPr>
                <w:rFonts w:ascii="Arial" w:cs="Arial" w:eastAsia="Arial" w:hAnsi="Arial"/>
                <w:sz w:val="13"/>
                <w:szCs w:val="13"/>
                <w:color w:val="071D49"/>
              </w:rPr>
              <w:t>●</w:t>
            </w:r>
          </w:p>
        </w:tc>
        <w:tc>
          <w:tcPr>
            <w:tcW w:w="58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44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840" w:type="dxa"/>
            <w:vAlign w:val="bottom"/>
          </w:tcPr>
          <w:p>
            <w:pPr>
              <w:spacing w:after="0"/>
              <w:rPr>
                <w:sz w:val="10"/>
                <w:szCs w:val="10"/>
                <w:color w:val="auto"/>
              </w:rPr>
            </w:pPr>
          </w:p>
        </w:tc>
        <w:tc>
          <w:tcPr>
            <w:tcW w:w="600" w:type="dxa"/>
            <w:vAlign w:val="bottom"/>
            <w:shd w:val="clear" w:color="auto" w:fill="F2F2F2"/>
          </w:tcPr>
          <w:p>
            <w:pPr>
              <w:jc w:val="center"/>
              <w:spacing w:after="0" w:line="116" w:lineRule="exact"/>
              <w:rPr>
                <w:sz w:val="20"/>
                <w:szCs w:val="20"/>
                <w:color w:val="auto"/>
              </w:rPr>
            </w:pPr>
            <w:r>
              <w:rPr>
                <w:rFonts w:ascii="Arial" w:cs="Arial" w:eastAsia="Arial" w:hAnsi="Arial"/>
                <w:sz w:val="13"/>
                <w:szCs w:val="13"/>
                <w:color w:val="071D49"/>
              </w:rPr>
              <w:t>●</w:t>
            </w:r>
          </w:p>
        </w:tc>
        <w:tc>
          <w:tcPr>
            <w:tcW w:w="880" w:type="dxa"/>
            <w:vAlign w:val="bottom"/>
          </w:tcPr>
          <w:p>
            <w:pPr>
              <w:jc w:val="center"/>
              <w:spacing w:after="0" w:line="116" w:lineRule="exact"/>
              <w:rPr>
                <w:sz w:val="20"/>
                <w:szCs w:val="20"/>
                <w:color w:val="auto"/>
              </w:rPr>
            </w:pPr>
            <w:r>
              <w:rPr>
                <w:rFonts w:ascii="Arial" w:cs="Arial" w:eastAsia="Arial" w:hAnsi="Arial"/>
                <w:sz w:val="13"/>
                <w:szCs w:val="13"/>
                <w:color w:val="071D49"/>
              </w:rPr>
              <w:t>●</w:t>
            </w:r>
          </w:p>
        </w:tc>
        <w:tc>
          <w:tcPr>
            <w:tcW w:w="0" w:type="dxa"/>
            <w:vAlign w:val="bottom"/>
          </w:tcPr>
          <w:p>
            <w:pPr>
              <w:spacing w:after="0"/>
              <w:rPr>
                <w:sz w:val="1"/>
                <w:szCs w:val="1"/>
                <w:color w:val="auto"/>
              </w:rPr>
            </w:pPr>
          </w:p>
        </w:tc>
      </w:tr>
      <w:tr>
        <w:trPr>
          <w:trHeight w:val="168"/>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Finance or</w:t>
            </w:r>
          </w:p>
        </w:tc>
        <w:tc>
          <w:tcPr>
            <w:tcW w:w="680" w:type="dxa"/>
            <w:vAlign w:val="bottom"/>
            <w:shd w:val="clear" w:color="auto" w:fill="F2F2F2"/>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shd w:val="clear" w:color="auto" w:fill="F2F2F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Borders>
              <w:left w:val="single" w:sz="8" w:color="071D49"/>
            </w:tcBorders>
          </w:tcPr>
          <w:p>
            <w:pPr>
              <w:spacing w:after="0"/>
              <w:rPr>
                <w:sz w:val="20"/>
                <w:szCs w:val="20"/>
                <w:color w:val="auto"/>
              </w:rPr>
            </w:pPr>
          </w:p>
        </w:tc>
        <w:tc>
          <w:tcPr>
            <w:tcW w:w="940" w:type="dxa"/>
            <w:vAlign w:val="bottom"/>
            <w:tcBorders>
              <w:bottom w:val="single" w:sz="8" w:color="071D49"/>
            </w:tcBorders>
          </w:tcPr>
          <w:p>
            <w:pPr>
              <w:spacing w:after="0"/>
              <w:rPr>
                <w:sz w:val="20"/>
                <w:szCs w:val="20"/>
                <w:color w:val="auto"/>
              </w:rPr>
            </w:pPr>
          </w:p>
        </w:tc>
        <w:tc>
          <w:tcPr>
            <w:tcW w:w="680" w:type="dxa"/>
            <w:vAlign w:val="bottom"/>
            <w:tcBorders>
              <w:bottom w:val="single" w:sz="8" w:color="071D49"/>
            </w:tcBorders>
            <w:shd w:val="clear" w:color="auto" w:fill="F2F2F2"/>
          </w:tcPr>
          <w:p>
            <w:pPr>
              <w:spacing w:after="0"/>
              <w:rPr>
                <w:sz w:val="20"/>
                <w:szCs w:val="20"/>
                <w:color w:val="auto"/>
              </w:rPr>
            </w:pPr>
          </w:p>
        </w:tc>
        <w:tc>
          <w:tcPr>
            <w:tcW w:w="620" w:type="dxa"/>
            <w:vAlign w:val="bottom"/>
            <w:tcBorders>
              <w:bottom w:val="single" w:sz="8" w:color="071D49"/>
            </w:tcBorders>
          </w:tcPr>
          <w:p>
            <w:pPr>
              <w:spacing w:after="0"/>
              <w:rPr>
                <w:sz w:val="20"/>
                <w:szCs w:val="20"/>
                <w:color w:val="auto"/>
              </w:rPr>
            </w:pPr>
          </w:p>
        </w:tc>
        <w:tc>
          <w:tcPr>
            <w:tcW w:w="920" w:type="dxa"/>
            <w:vAlign w:val="bottom"/>
            <w:tcBorders>
              <w:bottom w:val="single" w:sz="8" w:color="071D49"/>
            </w:tcBorders>
            <w:shd w:val="clear" w:color="auto" w:fill="F2F2F2"/>
          </w:tcPr>
          <w:p>
            <w:pPr>
              <w:spacing w:after="0"/>
              <w:rPr>
                <w:sz w:val="20"/>
                <w:szCs w:val="20"/>
                <w:color w:val="auto"/>
              </w:rPr>
            </w:pPr>
          </w:p>
        </w:tc>
        <w:tc>
          <w:tcPr>
            <w:tcW w:w="880" w:type="dxa"/>
            <w:vAlign w:val="bottom"/>
            <w:tcBorders>
              <w:bottom w:val="single" w:sz="8" w:color="071D49"/>
            </w:tcBorders>
          </w:tcPr>
          <w:p>
            <w:pPr>
              <w:spacing w:after="0"/>
              <w:rPr>
                <w:sz w:val="20"/>
                <w:szCs w:val="20"/>
                <w:color w:val="auto"/>
              </w:rPr>
            </w:pPr>
          </w:p>
        </w:tc>
        <w:tc>
          <w:tcPr>
            <w:tcW w:w="880" w:type="dxa"/>
            <w:vAlign w:val="bottom"/>
            <w:tcBorders>
              <w:bottom w:val="single" w:sz="8" w:color="071D49"/>
            </w:tcBorders>
            <w:shd w:val="clear" w:color="auto" w:fill="F2F2F2"/>
          </w:tcPr>
          <w:p>
            <w:pPr>
              <w:spacing w:after="0"/>
              <w:rPr>
                <w:sz w:val="20"/>
                <w:szCs w:val="20"/>
                <w:color w:val="auto"/>
              </w:rPr>
            </w:pPr>
          </w:p>
        </w:tc>
        <w:tc>
          <w:tcPr>
            <w:tcW w:w="440" w:type="dxa"/>
            <w:vAlign w:val="bottom"/>
            <w:tcBorders>
              <w:bottom w:val="single" w:sz="8" w:color="071D49"/>
            </w:tcBorders>
          </w:tcPr>
          <w:p>
            <w:pPr>
              <w:spacing w:after="0"/>
              <w:rPr>
                <w:sz w:val="20"/>
                <w:szCs w:val="20"/>
                <w:color w:val="auto"/>
              </w:rPr>
            </w:pPr>
          </w:p>
        </w:tc>
        <w:tc>
          <w:tcPr>
            <w:tcW w:w="500" w:type="dxa"/>
            <w:vAlign w:val="bottom"/>
            <w:tcBorders>
              <w:bottom w:val="single" w:sz="8" w:color="071D49"/>
            </w:tcBorders>
            <w:shd w:val="clear" w:color="auto" w:fill="F2F2F2"/>
          </w:tcPr>
          <w:p>
            <w:pPr>
              <w:spacing w:after="0"/>
              <w:rPr>
                <w:sz w:val="20"/>
                <w:szCs w:val="20"/>
                <w:color w:val="auto"/>
              </w:rPr>
            </w:pPr>
          </w:p>
        </w:tc>
        <w:tc>
          <w:tcPr>
            <w:tcW w:w="580" w:type="dxa"/>
            <w:vAlign w:val="bottom"/>
            <w:tcBorders>
              <w:bottom w:val="single" w:sz="8" w:color="071D49"/>
            </w:tcBorders>
          </w:tcPr>
          <w:p>
            <w:pPr>
              <w:spacing w:after="0"/>
              <w:rPr>
                <w:sz w:val="20"/>
                <w:szCs w:val="20"/>
                <w:color w:val="auto"/>
              </w:rPr>
            </w:pPr>
          </w:p>
        </w:tc>
        <w:tc>
          <w:tcPr>
            <w:tcW w:w="440" w:type="dxa"/>
            <w:vAlign w:val="bottom"/>
            <w:tcBorders>
              <w:bottom w:val="single" w:sz="8" w:color="071D49"/>
            </w:tcBorders>
            <w:shd w:val="clear" w:color="auto" w:fill="F2F2F2"/>
          </w:tcPr>
          <w:p>
            <w:pPr>
              <w:spacing w:after="0"/>
              <w:rPr>
                <w:sz w:val="20"/>
                <w:szCs w:val="20"/>
                <w:color w:val="auto"/>
              </w:rPr>
            </w:pPr>
          </w:p>
        </w:tc>
        <w:tc>
          <w:tcPr>
            <w:tcW w:w="840" w:type="dxa"/>
            <w:vAlign w:val="bottom"/>
            <w:tcBorders>
              <w:bottom w:val="single" w:sz="8" w:color="071D49"/>
            </w:tcBorders>
          </w:tcPr>
          <w:p>
            <w:pPr>
              <w:spacing w:after="0"/>
              <w:rPr>
                <w:sz w:val="20"/>
                <w:szCs w:val="20"/>
                <w:color w:val="auto"/>
              </w:rPr>
            </w:pPr>
          </w:p>
        </w:tc>
        <w:tc>
          <w:tcPr>
            <w:tcW w:w="600" w:type="dxa"/>
            <w:vAlign w:val="bottom"/>
            <w:tcBorders>
              <w:bottom w:val="single" w:sz="8" w:color="071D49"/>
            </w:tcBorders>
            <w:shd w:val="clear" w:color="auto" w:fill="F2F2F2"/>
          </w:tcPr>
          <w:p>
            <w:pPr>
              <w:spacing w:after="0"/>
              <w:rPr>
                <w:sz w:val="20"/>
                <w:szCs w:val="20"/>
                <w:color w:val="auto"/>
              </w:rPr>
            </w:pPr>
          </w:p>
        </w:tc>
        <w:tc>
          <w:tcPr>
            <w:tcW w:w="880" w:type="dxa"/>
            <w:vAlign w:val="bottom"/>
            <w:tcBorders>
              <w:bottom w:val="single" w:sz="8" w:color="071D49"/>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0" w:type="dxa"/>
            <w:vAlign w:val="bottom"/>
            <w:tcBorders>
              <w:left w:val="single" w:sz="8" w:color="071D49"/>
            </w:tcBorders>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Government</w:t>
            </w:r>
          </w:p>
        </w:tc>
        <w:tc>
          <w:tcPr>
            <w:tcW w:w="6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62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tcPr>
          <w:p>
            <w:pPr>
              <w:ind w:left="160"/>
              <w:spacing w:after="0"/>
              <w:rPr>
                <w:sz w:val="20"/>
                <w:szCs w:val="20"/>
                <w:color w:val="auto"/>
              </w:rPr>
            </w:pPr>
            <w:r>
              <w:rPr>
                <w:rFonts w:ascii="Arial" w:cs="Arial" w:eastAsia="Arial" w:hAnsi="Arial"/>
                <w:sz w:val="25"/>
                <w:szCs w:val="25"/>
                <w:color w:val="071D49"/>
              </w:rPr>
              <w:t>●</w:t>
            </w:r>
          </w:p>
        </w:tc>
        <w:tc>
          <w:tcPr>
            <w:tcW w:w="500" w:type="dxa"/>
            <w:vAlign w:val="bottom"/>
            <w:vMerge w:val="restart"/>
            <w:shd w:val="clear" w:color="auto" w:fill="F2F2F2"/>
          </w:tcPr>
          <w:p>
            <w:pPr>
              <w:ind w:left="180"/>
              <w:spacing w:after="0"/>
              <w:rPr>
                <w:sz w:val="20"/>
                <w:szCs w:val="20"/>
                <w:color w:val="auto"/>
              </w:rPr>
            </w:pPr>
            <w:r>
              <w:rPr>
                <w:rFonts w:ascii="Arial" w:cs="Arial" w:eastAsia="Arial" w:hAnsi="Arial"/>
                <w:sz w:val="25"/>
                <w:szCs w:val="25"/>
                <w:color w:val="071D49"/>
              </w:rPr>
              <w:t>●</w:t>
            </w:r>
          </w:p>
        </w:tc>
        <w:tc>
          <w:tcPr>
            <w:tcW w:w="5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40" w:type="dxa"/>
            <w:vAlign w:val="bottom"/>
            <w:vMerge w:val="restart"/>
          </w:tcPr>
          <w:p>
            <w:pPr>
              <w:jc w:val="center"/>
              <w:spacing w:after="0"/>
              <w:rPr>
                <w:sz w:val="20"/>
                <w:szCs w:val="20"/>
                <w:color w:val="auto"/>
              </w:rPr>
            </w:pPr>
            <w:r>
              <w:rPr>
                <w:rFonts w:ascii="Arial" w:cs="Arial" w:eastAsia="Arial" w:hAnsi="Arial"/>
                <w:sz w:val="25"/>
                <w:szCs w:val="25"/>
                <w:color w:val="071D49"/>
              </w:rPr>
              <w:t>●</w:t>
            </w:r>
          </w:p>
        </w:tc>
        <w:tc>
          <w:tcPr>
            <w:tcW w:w="600" w:type="dxa"/>
            <w:vAlign w:val="bottom"/>
            <w:vMerge w:val="restart"/>
            <w:shd w:val="clear" w:color="auto" w:fill="F2F2F2"/>
          </w:tcPr>
          <w:p>
            <w:pPr>
              <w:jc w:val="center"/>
              <w:spacing w:after="0"/>
              <w:rPr>
                <w:sz w:val="20"/>
                <w:szCs w:val="20"/>
                <w:color w:val="auto"/>
              </w:rPr>
            </w:pPr>
            <w:r>
              <w:rPr>
                <w:rFonts w:ascii="Arial" w:cs="Arial" w:eastAsia="Arial" w:hAnsi="Arial"/>
                <w:sz w:val="25"/>
                <w:szCs w:val="25"/>
                <w:color w:val="071D49"/>
              </w:rPr>
              <w:t>●</w:t>
            </w:r>
          </w:p>
        </w:tc>
        <w:tc>
          <w:tcPr>
            <w:tcW w:w="880" w:type="dxa"/>
            <w:vAlign w:val="bottom"/>
            <w:vMerge w:val="restart"/>
          </w:tcPr>
          <w:p>
            <w:pPr>
              <w:jc w:val="center"/>
              <w:spacing w:after="0"/>
              <w:rPr>
                <w:sz w:val="20"/>
                <w:szCs w:val="20"/>
                <w:color w:val="auto"/>
              </w:rPr>
            </w:pPr>
            <w:r>
              <w:rPr>
                <w:rFonts w:ascii="Arial" w:cs="Arial" w:eastAsia="Arial" w:hAnsi="Arial"/>
                <w:sz w:val="25"/>
                <w:szCs w:val="25"/>
                <w:color w:val="071D49"/>
                <w:w w:val="92"/>
              </w:rPr>
              <w:t>●</w:t>
            </w:r>
          </w:p>
        </w:tc>
        <w:tc>
          <w:tcPr>
            <w:tcW w:w="0" w:type="dxa"/>
            <w:vAlign w:val="bottom"/>
          </w:tcPr>
          <w:p>
            <w:pPr>
              <w:spacing w:after="0"/>
              <w:rPr>
                <w:sz w:val="1"/>
                <w:szCs w:val="1"/>
                <w:color w:val="auto"/>
              </w:rPr>
            </w:pPr>
          </w:p>
        </w:tc>
      </w:tr>
      <w:tr>
        <w:trPr>
          <w:trHeight w:val="151"/>
        </w:trPr>
        <w:tc>
          <w:tcPr>
            <w:tcW w:w="80" w:type="dxa"/>
            <w:vAlign w:val="bottom"/>
            <w:tcBorders>
              <w:left w:val="single" w:sz="8" w:color="071D49"/>
            </w:tcBorders>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Relations &amp;</w:t>
            </w:r>
          </w:p>
        </w:tc>
        <w:tc>
          <w:tcPr>
            <w:tcW w:w="680" w:type="dxa"/>
            <w:vAlign w:val="bottom"/>
            <w:vMerge w:val="continue"/>
            <w:shd w:val="clear" w:color="auto" w:fill="F2F2F2"/>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vMerge w:val="continue"/>
            <w:shd w:val="clear" w:color="auto" w:fill="F2F2F2"/>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vMerge w:val="continue"/>
            <w:shd w:val="clear" w:color="auto" w:fill="F2F2F2"/>
          </w:tcPr>
          <w:p>
            <w:pPr>
              <w:spacing w:after="0"/>
              <w:rPr>
                <w:sz w:val="13"/>
                <w:szCs w:val="13"/>
                <w:color w:val="auto"/>
              </w:rPr>
            </w:pPr>
          </w:p>
        </w:tc>
        <w:tc>
          <w:tcPr>
            <w:tcW w:w="440" w:type="dxa"/>
            <w:vAlign w:val="bottom"/>
            <w:vMerge w:val="continue"/>
          </w:tcPr>
          <w:p>
            <w:pPr>
              <w:spacing w:after="0"/>
              <w:rPr>
                <w:sz w:val="13"/>
                <w:szCs w:val="13"/>
                <w:color w:val="auto"/>
              </w:rPr>
            </w:pPr>
          </w:p>
        </w:tc>
        <w:tc>
          <w:tcPr>
            <w:tcW w:w="500" w:type="dxa"/>
            <w:vAlign w:val="bottom"/>
            <w:vMerge w:val="continue"/>
            <w:shd w:val="clear" w:color="auto" w:fill="F2F2F2"/>
          </w:tcPr>
          <w:p>
            <w:pPr>
              <w:spacing w:after="0"/>
              <w:rPr>
                <w:sz w:val="13"/>
                <w:szCs w:val="13"/>
                <w:color w:val="auto"/>
              </w:rPr>
            </w:pPr>
          </w:p>
        </w:tc>
        <w:tc>
          <w:tcPr>
            <w:tcW w:w="580" w:type="dxa"/>
            <w:vAlign w:val="bottom"/>
            <w:vMerge w:val="continue"/>
          </w:tcPr>
          <w:p>
            <w:pPr>
              <w:spacing w:after="0"/>
              <w:rPr>
                <w:sz w:val="13"/>
                <w:szCs w:val="13"/>
                <w:color w:val="auto"/>
              </w:rPr>
            </w:pPr>
          </w:p>
        </w:tc>
        <w:tc>
          <w:tcPr>
            <w:tcW w:w="440" w:type="dxa"/>
            <w:vAlign w:val="bottom"/>
            <w:vMerge w:val="continue"/>
            <w:shd w:val="clear" w:color="auto" w:fill="F2F2F2"/>
          </w:tcPr>
          <w:p>
            <w:pPr>
              <w:spacing w:after="0"/>
              <w:rPr>
                <w:sz w:val="13"/>
                <w:szCs w:val="13"/>
                <w:color w:val="auto"/>
              </w:rPr>
            </w:pPr>
          </w:p>
        </w:tc>
        <w:tc>
          <w:tcPr>
            <w:tcW w:w="840" w:type="dxa"/>
            <w:vAlign w:val="bottom"/>
            <w:vMerge w:val="continue"/>
          </w:tcPr>
          <w:p>
            <w:pPr>
              <w:spacing w:after="0"/>
              <w:rPr>
                <w:sz w:val="13"/>
                <w:szCs w:val="13"/>
                <w:color w:val="auto"/>
              </w:rPr>
            </w:pPr>
          </w:p>
        </w:tc>
        <w:tc>
          <w:tcPr>
            <w:tcW w:w="600" w:type="dxa"/>
            <w:vAlign w:val="bottom"/>
            <w:vMerge w:val="continue"/>
            <w:shd w:val="clear" w:color="auto" w:fill="F2F2F2"/>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071D49"/>
            </w:tcBorders>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Regulatory</w:t>
            </w:r>
          </w:p>
        </w:tc>
        <w:tc>
          <w:tcPr>
            <w:tcW w:w="680" w:type="dxa"/>
            <w:vAlign w:val="bottom"/>
            <w:shd w:val="clear" w:color="auto" w:fill="F2F2F2"/>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shd w:val="clear" w:color="auto" w:fill="F2F2F2"/>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80" w:type="dxa"/>
            <w:vAlign w:val="bottom"/>
            <w:tcBorders>
              <w:left w:val="single" w:sz="8" w:color="071D49"/>
            </w:tcBorders>
          </w:tcPr>
          <w:p>
            <w:pPr>
              <w:spacing w:after="0"/>
              <w:rPr>
                <w:sz w:val="7"/>
                <w:szCs w:val="7"/>
                <w:color w:val="auto"/>
              </w:rPr>
            </w:pPr>
          </w:p>
        </w:tc>
        <w:tc>
          <w:tcPr>
            <w:tcW w:w="940" w:type="dxa"/>
            <w:vAlign w:val="bottom"/>
            <w:tcBorders>
              <w:bottom w:val="single" w:sz="8" w:color="071D49"/>
            </w:tcBorders>
          </w:tcPr>
          <w:p>
            <w:pPr>
              <w:spacing w:after="0"/>
              <w:rPr>
                <w:sz w:val="7"/>
                <w:szCs w:val="7"/>
                <w:color w:val="auto"/>
              </w:rPr>
            </w:pPr>
          </w:p>
        </w:tc>
        <w:tc>
          <w:tcPr>
            <w:tcW w:w="680" w:type="dxa"/>
            <w:vAlign w:val="bottom"/>
            <w:tcBorders>
              <w:bottom w:val="single" w:sz="8" w:color="071D49"/>
            </w:tcBorders>
            <w:shd w:val="clear" w:color="auto" w:fill="F2F2F2"/>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920" w:type="dxa"/>
            <w:vAlign w:val="bottom"/>
            <w:tcBorders>
              <w:bottom w:val="single" w:sz="8" w:color="071D49"/>
            </w:tcBorders>
            <w:shd w:val="clear" w:color="auto" w:fill="F2F2F2"/>
          </w:tcPr>
          <w:p>
            <w:pPr>
              <w:spacing w:after="0"/>
              <w:rPr>
                <w:sz w:val="7"/>
                <w:szCs w:val="7"/>
                <w:color w:val="auto"/>
              </w:rPr>
            </w:pPr>
          </w:p>
        </w:tc>
        <w:tc>
          <w:tcPr>
            <w:tcW w:w="880" w:type="dxa"/>
            <w:vAlign w:val="bottom"/>
            <w:tcBorders>
              <w:bottom w:val="single" w:sz="8" w:color="071D49"/>
            </w:tcBorders>
          </w:tcPr>
          <w:p>
            <w:pPr>
              <w:spacing w:after="0"/>
              <w:rPr>
                <w:sz w:val="7"/>
                <w:szCs w:val="7"/>
                <w:color w:val="auto"/>
              </w:rPr>
            </w:pPr>
          </w:p>
        </w:tc>
        <w:tc>
          <w:tcPr>
            <w:tcW w:w="880" w:type="dxa"/>
            <w:vAlign w:val="bottom"/>
            <w:tcBorders>
              <w:bottom w:val="single" w:sz="8" w:color="071D49"/>
            </w:tcBorders>
            <w:shd w:val="clear" w:color="auto" w:fill="F2F2F2"/>
          </w:tcPr>
          <w:p>
            <w:pPr>
              <w:spacing w:after="0"/>
              <w:rPr>
                <w:sz w:val="7"/>
                <w:szCs w:val="7"/>
                <w:color w:val="auto"/>
              </w:rPr>
            </w:pPr>
          </w:p>
        </w:tc>
        <w:tc>
          <w:tcPr>
            <w:tcW w:w="440" w:type="dxa"/>
            <w:vAlign w:val="bottom"/>
            <w:tcBorders>
              <w:bottom w:val="single" w:sz="8" w:color="071D49"/>
            </w:tcBorders>
          </w:tcPr>
          <w:p>
            <w:pPr>
              <w:spacing w:after="0"/>
              <w:rPr>
                <w:sz w:val="7"/>
                <w:szCs w:val="7"/>
                <w:color w:val="auto"/>
              </w:rPr>
            </w:pPr>
          </w:p>
        </w:tc>
        <w:tc>
          <w:tcPr>
            <w:tcW w:w="500" w:type="dxa"/>
            <w:vAlign w:val="bottom"/>
            <w:tcBorders>
              <w:bottom w:val="single" w:sz="8" w:color="071D49"/>
            </w:tcBorders>
            <w:shd w:val="clear" w:color="auto" w:fill="F2F2F2"/>
          </w:tcPr>
          <w:p>
            <w:pPr>
              <w:spacing w:after="0"/>
              <w:rPr>
                <w:sz w:val="7"/>
                <w:szCs w:val="7"/>
                <w:color w:val="auto"/>
              </w:rPr>
            </w:pPr>
          </w:p>
        </w:tc>
        <w:tc>
          <w:tcPr>
            <w:tcW w:w="580" w:type="dxa"/>
            <w:vAlign w:val="bottom"/>
            <w:tcBorders>
              <w:bottom w:val="single" w:sz="8" w:color="071D49"/>
            </w:tcBorders>
          </w:tcPr>
          <w:p>
            <w:pPr>
              <w:spacing w:after="0"/>
              <w:rPr>
                <w:sz w:val="7"/>
                <w:szCs w:val="7"/>
                <w:color w:val="auto"/>
              </w:rPr>
            </w:pPr>
          </w:p>
        </w:tc>
        <w:tc>
          <w:tcPr>
            <w:tcW w:w="440" w:type="dxa"/>
            <w:vAlign w:val="bottom"/>
            <w:tcBorders>
              <w:bottom w:val="single" w:sz="8" w:color="071D49"/>
            </w:tcBorders>
            <w:shd w:val="clear" w:color="auto" w:fill="F2F2F2"/>
          </w:tcPr>
          <w:p>
            <w:pPr>
              <w:spacing w:after="0"/>
              <w:rPr>
                <w:sz w:val="7"/>
                <w:szCs w:val="7"/>
                <w:color w:val="auto"/>
              </w:rPr>
            </w:pPr>
          </w:p>
        </w:tc>
        <w:tc>
          <w:tcPr>
            <w:tcW w:w="840" w:type="dxa"/>
            <w:vAlign w:val="bottom"/>
            <w:tcBorders>
              <w:bottom w:val="single" w:sz="8" w:color="071D49"/>
            </w:tcBorders>
          </w:tcPr>
          <w:p>
            <w:pPr>
              <w:spacing w:after="0"/>
              <w:rPr>
                <w:sz w:val="7"/>
                <w:szCs w:val="7"/>
                <w:color w:val="auto"/>
              </w:rPr>
            </w:pPr>
          </w:p>
        </w:tc>
        <w:tc>
          <w:tcPr>
            <w:tcW w:w="600" w:type="dxa"/>
            <w:vAlign w:val="bottom"/>
            <w:tcBorders>
              <w:bottom w:val="single" w:sz="8" w:color="071D49"/>
            </w:tcBorders>
            <w:shd w:val="clear" w:color="auto" w:fill="F2F2F2"/>
          </w:tcPr>
          <w:p>
            <w:pPr>
              <w:spacing w:after="0"/>
              <w:rPr>
                <w:sz w:val="7"/>
                <w:szCs w:val="7"/>
                <w:color w:val="auto"/>
              </w:rPr>
            </w:pPr>
          </w:p>
        </w:tc>
        <w:tc>
          <w:tcPr>
            <w:tcW w:w="88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418" w:val="left"/>
          <w:tab w:leader="none" w:pos="2360"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874395" cy="1625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359410</wp:posOffset>
            </wp:positionV>
            <wp:extent cx="588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80"/>
          </w:cols>
          <w:pgMar w:left="1280" w:top="530" w:right="1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808080"/>
        </w:rPr>
        <w:t>THE BOARD OF DIRECTORS AND ITS COMMITTEES</w:t>
      </w:r>
    </w:p>
    <w:p>
      <w:pPr>
        <w:sectPr>
          <w:pgSz w:w="11900" w:h="16838" w:orient="portrait"/>
          <w:cols w:equalWidth="0" w:num="1">
            <w:col w:w="9260"/>
          </w:cols>
          <w:pgMar w:left="1320" w:top="530" w:right="131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Board Diversity</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AbbVie is committed to diversity in its workforce and on its board of directors. AbbVie serves patients in over 175 countries and across many different diseases. A diverse workforce and a diverse board are critical to bringing innovative new medicines to patients and to meeting their unique needs. In particular, diverse perspectives strengthen the oversight of AbbVie’s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0"/>
        </w:trPr>
        <w:tc>
          <w:tcPr>
            <w:tcW w:w="146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40"/>
                <w:szCs w:val="40"/>
                <w:color w:val="071D49"/>
                <w:w w:val="97"/>
              </w:rPr>
              <w:t>25%</w:t>
            </w:r>
          </w:p>
        </w:tc>
        <w:tc>
          <w:tcPr>
            <w:tcW w:w="1500" w:type="dxa"/>
            <w:vAlign w:val="bottom"/>
            <w:shd w:val="clear" w:color="auto" w:fill="F2F2F2"/>
          </w:tcPr>
          <w:p>
            <w:pPr>
              <w:jc w:val="center"/>
              <w:spacing w:after="0"/>
              <w:rPr>
                <w:sz w:val="20"/>
                <w:szCs w:val="20"/>
                <w:color w:val="auto"/>
              </w:rPr>
            </w:pPr>
            <w:r>
              <w:rPr>
                <w:rFonts w:ascii="Arial" w:cs="Arial" w:eastAsia="Arial" w:hAnsi="Arial"/>
                <w:sz w:val="40"/>
                <w:szCs w:val="40"/>
                <w:color w:val="071D49"/>
                <w:w w:val="97"/>
              </w:rPr>
              <w:t>17%</w:t>
            </w:r>
          </w:p>
        </w:tc>
        <w:tc>
          <w:tcPr>
            <w:tcW w:w="0" w:type="dxa"/>
            <w:vAlign w:val="bottom"/>
          </w:tcPr>
          <w:p>
            <w:pPr>
              <w:spacing w:after="0"/>
              <w:rPr>
                <w:sz w:val="1"/>
                <w:szCs w:val="1"/>
                <w:color w:val="auto"/>
              </w:rPr>
            </w:pPr>
          </w:p>
        </w:tc>
      </w:tr>
      <w:tr>
        <w:trPr>
          <w:trHeight w:val="180"/>
        </w:trPr>
        <w:tc>
          <w:tcPr>
            <w:tcW w:w="1460" w:type="dxa"/>
            <w:vAlign w:val="bottom"/>
            <w:tcBorders>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071D49"/>
                <w:w w:val="99"/>
              </w:rPr>
              <w:t>female board</w:t>
            </w:r>
          </w:p>
        </w:tc>
        <w:tc>
          <w:tcPr>
            <w:tcW w:w="1500" w:type="dxa"/>
            <w:vAlign w:val="bottom"/>
            <w:shd w:val="clear" w:color="auto" w:fill="F2F2F2"/>
          </w:tcPr>
          <w:p>
            <w:pPr>
              <w:jc w:val="center"/>
              <w:spacing w:after="0" w:line="180" w:lineRule="exact"/>
              <w:rPr>
                <w:sz w:val="20"/>
                <w:szCs w:val="20"/>
                <w:color w:val="auto"/>
              </w:rPr>
            </w:pPr>
            <w:r>
              <w:rPr>
                <w:rFonts w:ascii="Arial" w:cs="Arial" w:eastAsia="Arial" w:hAnsi="Arial"/>
                <w:sz w:val="18"/>
                <w:szCs w:val="18"/>
                <w:b w:val="1"/>
                <w:bCs w:val="1"/>
                <w:color w:val="071D49"/>
                <w:w w:val="99"/>
              </w:rPr>
              <w:t>ethnically or</w:t>
            </w:r>
          </w:p>
        </w:tc>
        <w:tc>
          <w:tcPr>
            <w:tcW w:w="0" w:type="dxa"/>
            <w:vAlign w:val="bottom"/>
          </w:tcPr>
          <w:p>
            <w:pPr>
              <w:spacing w:after="0"/>
              <w:rPr>
                <w:sz w:val="1"/>
                <w:szCs w:val="1"/>
                <w:color w:val="auto"/>
              </w:rPr>
            </w:pPr>
          </w:p>
        </w:tc>
      </w:tr>
      <w:tr>
        <w:trPr>
          <w:trHeight w:val="94"/>
        </w:trPr>
        <w:tc>
          <w:tcPr>
            <w:tcW w:w="1460" w:type="dxa"/>
            <w:vAlign w:val="bottom"/>
            <w:tcBorders>
              <w:right w:val="single" w:sz="8" w:color="071D49"/>
            </w:tcBorders>
            <w:vMerge w:val="continue"/>
            <w:shd w:val="clear" w:color="auto" w:fill="F2F2F2"/>
          </w:tcPr>
          <w:p>
            <w:pPr>
              <w:spacing w:after="0"/>
              <w:rPr>
                <w:sz w:val="8"/>
                <w:szCs w:val="8"/>
                <w:color w:val="auto"/>
              </w:rPr>
            </w:pPr>
          </w:p>
        </w:tc>
        <w:tc>
          <w:tcPr>
            <w:tcW w:w="1500" w:type="dxa"/>
            <w:vAlign w:val="bottom"/>
            <w:vMerge w:val="restart"/>
            <w:shd w:val="clear" w:color="auto" w:fill="F2F2F2"/>
          </w:tcPr>
          <w:p>
            <w:pPr>
              <w:jc w:val="center"/>
              <w:spacing w:after="0" w:line="202" w:lineRule="exact"/>
              <w:rPr>
                <w:sz w:val="20"/>
                <w:szCs w:val="20"/>
                <w:color w:val="auto"/>
              </w:rPr>
            </w:pPr>
            <w:r>
              <w:rPr>
                <w:rFonts w:ascii="Arial" w:cs="Arial" w:eastAsia="Arial" w:hAnsi="Arial"/>
                <w:sz w:val="18"/>
                <w:szCs w:val="18"/>
                <w:b w:val="1"/>
                <w:bCs w:val="1"/>
                <w:color w:val="071D49"/>
                <w:w w:val="99"/>
              </w:rPr>
              <w:t>racially diverse</w:t>
            </w:r>
          </w:p>
        </w:tc>
        <w:tc>
          <w:tcPr>
            <w:tcW w:w="0" w:type="dxa"/>
            <w:vAlign w:val="bottom"/>
          </w:tcPr>
          <w:p>
            <w:pPr>
              <w:spacing w:after="0"/>
              <w:rPr>
                <w:sz w:val="1"/>
                <w:szCs w:val="1"/>
                <w:color w:val="auto"/>
              </w:rPr>
            </w:pPr>
          </w:p>
        </w:tc>
      </w:tr>
      <w:tr>
        <w:trPr>
          <w:trHeight w:val="108"/>
        </w:trPr>
        <w:tc>
          <w:tcPr>
            <w:tcW w:w="1460" w:type="dxa"/>
            <w:vAlign w:val="bottom"/>
            <w:tcBorders>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8"/>
                <w:szCs w:val="18"/>
                <w:b w:val="1"/>
                <w:bCs w:val="1"/>
                <w:color w:val="071D49"/>
                <w:w w:val="99"/>
              </w:rPr>
              <w:t>members</w:t>
            </w:r>
          </w:p>
        </w:tc>
        <w:tc>
          <w:tcPr>
            <w:tcW w:w="15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460" w:type="dxa"/>
            <w:vAlign w:val="bottom"/>
            <w:tcBorders>
              <w:right w:val="single" w:sz="8" w:color="071D49"/>
            </w:tcBorders>
            <w:vMerge w:val="continue"/>
            <w:shd w:val="clear" w:color="auto" w:fill="F2F2F2"/>
          </w:tcPr>
          <w:p>
            <w:pPr>
              <w:spacing w:after="0"/>
              <w:rPr>
                <w:sz w:val="11"/>
                <w:szCs w:val="11"/>
                <w:color w:val="auto"/>
              </w:rPr>
            </w:pPr>
          </w:p>
        </w:tc>
        <w:tc>
          <w:tcPr>
            <w:tcW w:w="150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071D49"/>
                <w:w w:val="99"/>
              </w:rPr>
              <w:t>board members</w:t>
            </w:r>
          </w:p>
        </w:tc>
        <w:tc>
          <w:tcPr>
            <w:tcW w:w="0" w:type="dxa"/>
            <w:vAlign w:val="bottom"/>
          </w:tcPr>
          <w:p>
            <w:pPr>
              <w:spacing w:after="0"/>
              <w:rPr>
                <w:sz w:val="1"/>
                <w:szCs w:val="1"/>
                <w:color w:val="auto"/>
              </w:rPr>
            </w:pPr>
          </w:p>
        </w:tc>
      </w:tr>
      <w:tr>
        <w:trPr>
          <w:trHeight w:val="94"/>
        </w:trPr>
        <w:tc>
          <w:tcPr>
            <w:tcW w:w="1460" w:type="dxa"/>
            <w:vAlign w:val="bottom"/>
            <w:tcBorders>
              <w:right w:val="single" w:sz="8" w:color="071D49"/>
            </w:tcBorders>
            <w:shd w:val="clear" w:color="auto" w:fill="F2F2F2"/>
          </w:tcPr>
          <w:p>
            <w:pPr>
              <w:spacing w:after="0"/>
              <w:rPr>
                <w:sz w:val="8"/>
                <w:szCs w:val="8"/>
                <w:color w:val="auto"/>
              </w:rPr>
            </w:pPr>
          </w:p>
        </w:tc>
        <w:tc>
          <w:tcPr>
            <w:tcW w:w="15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2">
            <w:col w:w="6220" w:space="60"/>
            <w:col w:w="2980"/>
          </w:cols>
          <w:pgMar w:left="1320" w:top="530" w:right="1319" w:bottom="1440" w:gutter="0" w:footer="0" w:header="0"/>
          <w:type w:val="continuous"/>
        </w:sectPr>
      </w:pPr>
    </w:p>
    <w:p>
      <w:pPr>
        <w:ind w:right="140"/>
        <w:spacing w:after="0" w:line="238" w:lineRule="auto"/>
        <w:rPr>
          <w:sz w:val="20"/>
          <w:szCs w:val="20"/>
          <w:color w:val="auto"/>
        </w:rPr>
      </w:pPr>
      <w:r>
        <w:rPr>
          <w:rFonts w:ascii="Arial" w:cs="Arial" w:eastAsia="Arial" w:hAnsi="Arial"/>
          <w:sz w:val="18"/>
          <w:szCs w:val="18"/>
          <w:color w:val="auto"/>
        </w:rPr>
        <w:t>Diversity, including diversity of race, ethnicity, gender, and age, is an integral factor in identifying prospective directors. In the process of identifying nominees to serve as a member of the board of directors, the nominations and governance committee considers the existing board’s diversity and assesses the effectiveness of the recruitment process in achieving a diverse board. More details about our workforce diversity efforts are available in the ‘‘Our ESG Highlights’’ section of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color w:val="auto"/>
        </w:rPr>
        <w:t>Committees of the Board of Directors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Audit Committee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00" w:type="dxa"/>
            <w:vAlign w:val="bottom"/>
            <w:shd w:val="clear" w:color="auto" w:fill="F2F2F2"/>
          </w:tcPr>
          <w:p>
            <w:pPr>
              <w:ind w:left="40"/>
              <w:spacing w:after="0"/>
              <w:rPr>
                <w:sz w:val="20"/>
                <w:szCs w:val="20"/>
                <w:color w:val="auto"/>
              </w:rPr>
            </w:pPr>
            <w:r>
              <w:rPr>
                <w:rFonts w:ascii="Arial" w:cs="Arial" w:eastAsia="Arial" w:hAnsi="Arial"/>
                <w:sz w:val="16"/>
                <w:szCs w:val="16"/>
                <w:b w:val="1"/>
                <w:bCs w:val="1"/>
                <w:color w:val="auto"/>
              </w:rPr>
              <w:t>Members</w:t>
            </w:r>
          </w:p>
        </w:tc>
        <w:tc>
          <w:tcPr>
            <w:tcW w:w="6020" w:type="dxa"/>
            <w:vAlign w:val="bottom"/>
          </w:tcPr>
          <w:p>
            <w:pPr>
              <w:ind w:left="220"/>
              <w:spacing w:after="0"/>
              <w:rPr>
                <w:sz w:val="20"/>
                <w:szCs w:val="20"/>
                <w:color w:val="auto"/>
              </w:rPr>
            </w:pPr>
            <w:r>
              <w:rPr>
                <w:rFonts w:ascii="Arial" w:cs="Arial" w:eastAsia="Arial" w:hAnsi="Arial"/>
                <w:sz w:val="16"/>
                <w:szCs w:val="16"/>
                <w:b w:val="1"/>
                <w:bCs w:val="1"/>
                <w:color w:val="auto"/>
              </w:rPr>
              <w:t>Key Characteristics and Responsibilities</w:t>
            </w:r>
          </w:p>
        </w:tc>
        <w:tc>
          <w:tcPr>
            <w:tcW w:w="1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Meetings in 2021: 6</w:t>
            </w:r>
          </w:p>
        </w:tc>
        <w:tc>
          <w:tcPr>
            <w:tcW w:w="0" w:type="dxa"/>
            <w:vAlign w:val="bottom"/>
          </w:tcPr>
          <w:p>
            <w:pPr>
              <w:spacing w:after="0"/>
              <w:rPr>
                <w:sz w:val="1"/>
                <w:szCs w:val="1"/>
                <w:color w:val="auto"/>
              </w:rPr>
            </w:pPr>
          </w:p>
        </w:tc>
      </w:tr>
      <w:tr>
        <w:trPr>
          <w:trHeight w:val="80"/>
        </w:trPr>
        <w:tc>
          <w:tcPr>
            <w:tcW w:w="1300" w:type="dxa"/>
            <w:vAlign w:val="bottom"/>
            <w:tcBorders>
              <w:bottom w:val="single" w:sz="8" w:color="071D49"/>
            </w:tcBorders>
            <w:shd w:val="clear" w:color="auto" w:fill="F2F2F2"/>
          </w:tcPr>
          <w:p>
            <w:pPr>
              <w:spacing w:after="0"/>
              <w:rPr>
                <w:sz w:val="7"/>
                <w:szCs w:val="7"/>
                <w:color w:val="auto"/>
              </w:rPr>
            </w:pPr>
          </w:p>
        </w:tc>
        <w:tc>
          <w:tcPr>
            <w:tcW w:w="7940" w:type="dxa"/>
            <w:vAlign w:val="bottom"/>
            <w:tcBorders>
              <w:bottom w:val="single" w:sz="8" w:color="071D49"/>
            </w:tcBorders>
            <w:gridSpan w:val="2"/>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300" w:type="dxa"/>
            <w:vAlign w:val="bottom"/>
            <w:shd w:val="clear" w:color="auto" w:fill="F2F2F2"/>
          </w:tcPr>
          <w:p>
            <w:pPr>
              <w:spacing w:after="0"/>
              <w:rPr>
                <w:sz w:val="17"/>
                <w:szCs w:val="17"/>
                <w:color w:val="auto"/>
              </w:rPr>
            </w:pPr>
          </w:p>
        </w:tc>
        <w:tc>
          <w:tcPr>
            <w:tcW w:w="7940" w:type="dxa"/>
            <w:vAlign w:val="bottom"/>
            <w:gridSpan w:val="2"/>
          </w:tcPr>
          <w:p>
            <w:pPr>
              <w:ind w:left="2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audit committee is governed by a written charter. The charter sets forth the purposes of the audit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F2F2F2"/>
          </w:tcPr>
          <w:p>
            <w:pPr>
              <w:spacing w:after="0"/>
              <w:rPr>
                <w:sz w:val="16"/>
                <w:szCs w:val="16"/>
                <w:color w:val="auto"/>
              </w:rPr>
            </w:pP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committee, identifies qualifications required for the audit committee members, and describes the</w:t>
            </w:r>
          </w:p>
        </w:tc>
        <w:tc>
          <w:tcPr>
            <w:tcW w:w="0" w:type="dxa"/>
            <w:vAlign w:val="bottom"/>
          </w:tcPr>
          <w:p>
            <w:pPr>
              <w:spacing w:after="0"/>
              <w:rPr>
                <w:sz w:val="1"/>
                <w:szCs w:val="1"/>
                <w:color w:val="auto"/>
              </w:rPr>
            </w:pPr>
          </w:p>
        </w:tc>
      </w:tr>
      <w:tr>
        <w:trPr>
          <w:trHeight w:val="201"/>
        </w:trPr>
        <w:tc>
          <w:tcPr>
            <w:tcW w:w="1300" w:type="dxa"/>
            <w:vAlign w:val="bottom"/>
            <w:shd w:val="clear" w:color="auto" w:fill="F2F2F2"/>
          </w:tcPr>
          <w:p>
            <w:pPr>
              <w:spacing w:after="0" w:line="201" w:lineRule="exact"/>
              <w:rPr>
                <w:sz w:val="20"/>
                <w:szCs w:val="20"/>
                <w:color w:val="auto"/>
              </w:rPr>
            </w:pPr>
            <w:r>
              <w:rPr>
                <w:rFonts w:ascii="Arial" w:cs="Arial" w:eastAsia="Arial" w:hAnsi="Arial"/>
                <w:sz w:val="18"/>
                <w:szCs w:val="18"/>
                <w:b w:val="1"/>
                <w:bCs w:val="1"/>
                <w:color w:val="auto"/>
              </w:rPr>
              <w:t>W. Burnside</w:t>
            </w:r>
          </w:p>
        </w:tc>
        <w:tc>
          <w:tcPr>
            <w:tcW w:w="6020" w:type="dxa"/>
            <w:vAlign w:val="bottom"/>
          </w:tcPr>
          <w:p>
            <w:pPr>
              <w:ind w:left="460"/>
              <w:spacing w:after="0"/>
              <w:rPr>
                <w:sz w:val="20"/>
                <w:szCs w:val="20"/>
                <w:color w:val="auto"/>
              </w:rPr>
            </w:pPr>
            <w:r>
              <w:rPr>
                <w:rFonts w:ascii="Arial" w:cs="Arial" w:eastAsia="Arial" w:hAnsi="Arial"/>
                <w:sz w:val="16"/>
                <w:szCs w:val="16"/>
                <w:color w:val="auto"/>
              </w:rPr>
              <w:t>committee’s authority and responsibilities.</w:t>
            </w: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vMerge w:val="restart"/>
            <w:shd w:val="clear" w:color="auto" w:fill="F2F2F2"/>
          </w:tcPr>
          <w:p>
            <w:pPr>
              <w:spacing w:after="0"/>
              <w:rPr>
                <w:sz w:val="20"/>
                <w:szCs w:val="20"/>
                <w:color w:val="auto"/>
              </w:rPr>
            </w:pPr>
            <w:r>
              <w:rPr>
                <w:rFonts w:ascii="Arial" w:cs="Arial" w:eastAsia="Arial" w:hAnsi="Arial"/>
                <w:sz w:val="18"/>
                <w:szCs w:val="18"/>
                <w:b w:val="1"/>
                <w:bCs w:val="1"/>
                <w:color w:val="auto"/>
              </w:rPr>
              <w:t>T. Freyman</w:t>
            </w:r>
          </w:p>
        </w:tc>
        <w:tc>
          <w:tcPr>
            <w:tcW w:w="7960" w:type="dxa"/>
            <w:vAlign w:val="bottom"/>
            <w:gridSpan w:val="3"/>
          </w:tcPr>
          <w:p>
            <w:pPr>
              <w:ind w:left="2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audit committee assists the board of directors in fulfilling its oversight responsibility with respect to</w:t>
            </w:r>
          </w:p>
        </w:tc>
        <w:tc>
          <w:tcPr>
            <w:tcW w:w="0" w:type="dxa"/>
            <w:vAlign w:val="bottom"/>
          </w:tcPr>
          <w:p>
            <w:pPr>
              <w:spacing w:after="0"/>
              <w:rPr>
                <w:sz w:val="1"/>
                <w:szCs w:val="1"/>
                <w:color w:val="auto"/>
              </w:rPr>
            </w:pPr>
          </w:p>
        </w:tc>
      </w:tr>
      <w:tr>
        <w:trPr>
          <w:trHeight w:val="189"/>
        </w:trPr>
        <w:tc>
          <w:tcPr>
            <w:tcW w:w="1300" w:type="dxa"/>
            <w:vAlign w:val="bottom"/>
            <w:vMerge w:val="continue"/>
            <w:shd w:val="clear" w:color="auto" w:fill="F2F2F2"/>
          </w:tcPr>
          <w:p>
            <w:pPr>
              <w:spacing w:after="0"/>
              <w:rPr>
                <w:sz w:val="16"/>
                <w:szCs w:val="16"/>
                <w:color w:val="auto"/>
              </w:rPr>
            </w:pP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AbbVie’s accounting and financial reporting practices and the audit process, the quality and integrity of</w:t>
            </w:r>
          </w:p>
        </w:tc>
        <w:tc>
          <w:tcPr>
            <w:tcW w:w="0" w:type="dxa"/>
            <w:vAlign w:val="bottom"/>
          </w:tcPr>
          <w:p>
            <w:pPr>
              <w:spacing w:after="0"/>
              <w:rPr>
                <w:sz w:val="1"/>
                <w:szCs w:val="1"/>
                <w:color w:val="auto"/>
              </w:rPr>
            </w:pPr>
          </w:p>
        </w:tc>
      </w:tr>
      <w:tr>
        <w:trPr>
          <w:trHeight w:val="189"/>
        </w:trPr>
        <w:tc>
          <w:tcPr>
            <w:tcW w:w="1300" w:type="dxa"/>
            <w:vAlign w:val="bottom"/>
            <w:shd w:val="clear" w:color="auto" w:fill="F2F2F2"/>
          </w:tcPr>
          <w:p>
            <w:pPr>
              <w:ind w:left="120"/>
              <w:spacing w:after="0" w:line="189" w:lineRule="exact"/>
              <w:rPr>
                <w:sz w:val="20"/>
                <w:szCs w:val="20"/>
                <w:color w:val="auto"/>
              </w:rPr>
            </w:pPr>
            <w:r>
              <w:rPr>
                <w:rFonts w:ascii="Arial" w:cs="Arial" w:eastAsia="Arial" w:hAnsi="Arial"/>
                <w:sz w:val="18"/>
                <w:szCs w:val="18"/>
                <w:b w:val="1"/>
                <w:bCs w:val="1"/>
                <w:color w:val="071D49"/>
              </w:rPr>
              <w:t>(Chair)</w:t>
            </w: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AbbVie’s financial statements, including a review of significant accounting policies, the independent</w:t>
            </w:r>
          </w:p>
        </w:tc>
        <w:tc>
          <w:tcPr>
            <w:tcW w:w="0" w:type="dxa"/>
            <w:vAlign w:val="bottom"/>
          </w:tcPr>
          <w:p>
            <w:pPr>
              <w:spacing w:after="0"/>
              <w:rPr>
                <w:sz w:val="1"/>
                <w:szCs w:val="1"/>
                <w:color w:val="auto"/>
              </w:rPr>
            </w:pPr>
          </w:p>
        </w:tc>
      </w:tr>
      <w:tr>
        <w:trPr>
          <w:trHeight w:val="189"/>
        </w:trPr>
        <w:tc>
          <w:tcPr>
            <w:tcW w:w="1300" w:type="dxa"/>
            <w:vAlign w:val="bottom"/>
            <w:vMerge w:val="restart"/>
            <w:shd w:val="clear" w:color="auto" w:fill="F2F2F2"/>
          </w:tcPr>
          <w:p>
            <w:pPr>
              <w:spacing w:after="0"/>
              <w:rPr>
                <w:sz w:val="20"/>
                <w:szCs w:val="20"/>
                <w:color w:val="auto"/>
              </w:rPr>
            </w:pPr>
            <w:r>
              <w:rPr>
                <w:rFonts w:ascii="Arial" w:cs="Arial" w:eastAsia="Arial" w:hAnsi="Arial"/>
                <w:sz w:val="18"/>
                <w:szCs w:val="18"/>
                <w:b w:val="1"/>
                <w:bCs w:val="1"/>
                <w:color w:val="auto"/>
              </w:rPr>
              <w:t>M. Meyer</w:t>
            </w: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auditors’ qualifications, independence, and performance, the performance of AbbVie’s internal audit</w:t>
            </w:r>
          </w:p>
        </w:tc>
        <w:tc>
          <w:tcPr>
            <w:tcW w:w="0" w:type="dxa"/>
            <w:vAlign w:val="bottom"/>
          </w:tcPr>
          <w:p>
            <w:pPr>
              <w:spacing w:after="0"/>
              <w:rPr>
                <w:sz w:val="1"/>
                <w:szCs w:val="1"/>
                <w:color w:val="auto"/>
              </w:rPr>
            </w:pPr>
          </w:p>
        </w:tc>
      </w:tr>
      <w:tr>
        <w:trPr>
          <w:trHeight w:val="189"/>
        </w:trPr>
        <w:tc>
          <w:tcPr>
            <w:tcW w:w="1300" w:type="dxa"/>
            <w:vAlign w:val="bottom"/>
            <w:vMerge w:val="continue"/>
            <w:shd w:val="clear" w:color="auto" w:fill="F2F2F2"/>
          </w:tcPr>
          <w:p>
            <w:pPr>
              <w:spacing w:after="0"/>
              <w:rPr>
                <w:sz w:val="16"/>
                <w:szCs w:val="16"/>
                <w:color w:val="auto"/>
              </w:rPr>
            </w:pP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function and internal auditors, certain areas of legal and regulatory compliance, and enterprise risk</w:t>
            </w:r>
          </w:p>
        </w:tc>
        <w:tc>
          <w:tcPr>
            <w:tcW w:w="0" w:type="dxa"/>
            <w:vAlign w:val="bottom"/>
          </w:tcPr>
          <w:p>
            <w:pPr>
              <w:spacing w:after="0"/>
              <w:rPr>
                <w:sz w:val="1"/>
                <w:szCs w:val="1"/>
                <w:color w:val="auto"/>
              </w:rPr>
            </w:pPr>
          </w:p>
        </w:tc>
      </w:tr>
      <w:tr>
        <w:trPr>
          <w:trHeight w:val="189"/>
        </w:trPr>
        <w:tc>
          <w:tcPr>
            <w:tcW w:w="1300" w:type="dxa"/>
            <w:vAlign w:val="bottom"/>
            <w:vMerge w:val="restart"/>
            <w:shd w:val="clear" w:color="auto" w:fill="F2F2F2"/>
          </w:tcPr>
          <w:p>
            <w:pPr>
              <w:spacing w:after="0"/>
              <w:rPr>
                <w:sz w:val="20"/>
                <w:szCs w:val="20"/>
                <w:color w:val="auto"/>
              </w:rPr>
            </w:pPr>
            <w:r>
              <w:rPr>
                <w:rFonts w:ascii="Arial" w:cs="Arial" w:eastAsia="Arial" w:hAnsi="Arial"/>
                <w:sz w:val="18"/>
                <w:szCs w:val="18"/>
                <w:b w:val="1"/>
                <w:bCs w:val="1"/>
                <w:color w:val="auto"/>
              </w:rPr>
              <w:t>E. Rapp</w:t>
            </w: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management. The audit committee is directly responsible for the appointment, fees, retention, and</w:t>
            </w:r>
          </w:p>
        </w:tc>
        <w:tc>
          <w:tcPr>
            <w:tcW w:w="0" w:type="dxa"/>
            <w:vAlign w:val="bottom"/>
          </w:tcPr>
          <w:p>
            <w:pPr>
              <w:spacing w:after="0"/>
              <w:rPr>
                <w:sz w:val="1"/>
                <w:szCs w:val="1"/>
                <w:color w:val="auto"/>
              </w:rPr>
            </w:pPr>
          </w:p>
        </w:tc>
      </w:tr>
      <w:tr>
        <w:trPr>
          <w:trHeight w:val="133"/>
        </w:trPr>
        <w:tc>
          <w:tcPr>
            <w:tcW w:w="1300" w:type="dxa"/>
            <w:vAlign w:val="bottom"/>
            <w:vMerge w:val="continue"/>
            <w:shd w:val="clear" w:color="auto" w:fill="F2F2F2"/>
          </w:tcPr>
          <w:p>
            <w:pPr>
              <w:spacing w:after="0"/>
              <w:rPr>
                <w:sz w:val="11"/>
                <w:szCs w:val="11"/>
                <w:color w:val="auto"/>
              </w:rPr>
            </w:pPr>
          </w:p>
        </w:tc>
        <w:tc>
          <w:tcPr>
            <w:tcW w:w="6020" w:type="dxa"/>
            <w:vAlign w:val="bottom"/>
            <w:vMerge w:val="restart"/>
          </w:tcPr>
          <w:p>
            <w:pPr>
              <w:ind w:left="460"/>
              <w:spacing w:after="0"/>
              <w:rPr>
                <w:sz w:val="20"/>
                <w:szCs w:val="20"/>
                <w:color w:val="auto"/>
              </w:rPr>
            </w:pPr>
            <w:r>
              <w:rPr>
                <w:rFonts w:ascii="Arial" w:cs="Arial" w:eastAsia="Arial" w:hAnsi="Arial"/>
                <w:sz w:val="16"/>
                <w:szCs w:val="16"/>
                <w:color w:val="auto"/>
              </w:rPr>
              <w:t>oversight of the work of AbbVie’s independent auditors.</w:t>
            </w: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300" w:type="dxa"/>
            <w:vAlign w:val="bottom"/>
            <w:shd w:val="clear" w:color="auto" w:fill="F2F2F2"/>
          </w:tcPr>
          <w:p>
            <w:pPr>
              <w:spacing w:after="0"/>
              <w:rPr>
                <w:sz w:val="4"/>
                <w:szCs w:val="4"/>
                <w:color w:val="auto"/>
              </w:rPr>
            </w:pPr>
          </w:p>
        </w:tc>
        <w:tc>
          <w:tcPr>
            <w:tcW w:w="6020" w:type="dxa"/>
            <w:vAlign w:val="bottom"/>
            <w:vMerge w:val="continue"/>
          </w:tcPr>
          <w:p>
            <w:pPr>
              <w:spacing w:after="0"/>
              <w:rPr>
                <w:sz w:val="4"/>
                <w:szCs w:val="4"/>
                <w:color w:val="auto"/>
              </w:rPr>
            </w:pPr>
          </w:p>
        </w:tc>
        <w:tc>
          <w:tcPr>
            <w:tcW w:w="1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0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G. Tilton</w:t>
            </w:r>
          </w:p>
        </w:tc>
        <w:tc>
          <w:tcPr>
            <w:tcW w:w="7960" w:type="dxa"/>
            <w:vAlign w:val="bottom"/>
            <w:gridSpan w:val="3"/>
          </w:tcPr>
          <w:p>
            <w:pPr>
              <w:ind w:left="2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Each of the members of the audit committee is financially literate, as required of audit committee</w:t>
            </w:r>
          </w:p>
        </w:tc>
        <w:tc>
          <w:tcPr>
            <w:tcW w:w="0" w:type="dxa"/>
            <w:vAlign w:val="bottom"/>
          </w:tcPr>
          <w:p>
            <w:pPr>
              <w:spacing w:after="0"/>
              <w:rPr>
                <w:sz w:val="1"/>
                <w:szCs w:val="1"/>
                <w:color w:val="auto"/>
              </w:rPr>
            </w:pPr>
          </w:p>
        </w:tc>
      </w:tr>
      <w:tr>
        <w:trPr>
          <w:trHeight w:val="189"/>
        </w:trPr>
        <w:tc>
          <w:tcPr>
            <w:tcW w:w="1300" w:type="dxa"/>
            <w:vAlign w:val="bottom"/>
            <w:vMerge w:val="restart"/>
            <w:shd w:val="clear" w:color="auto" w:fill="F2F2F2"/>
          </w:tcPr>
          <w:p>
            <w:pPr>
              <w:spacing w:after="0"/>
              <w:rPr>
                <w:sz w:val="20"/>
                <w:szCs w:val="20"/>
                <w:color w:val="auto"/>
              </w:rPr>
            </w:pPr>
            <w:r>
              <w:rPr>
                <w:rFonts w:ascii="Arial" w:cs="Arial" w:eastAsia="Arial" w:hAnsi="Arial"/>
                <w:sz w:val="18"/>
                <w:szCs w:val="18"/>
                <w:b w:val="1"/>
                <w:bCs w:val="1"/>
                <w:color w:val="auto"/>
              </w:rPr>
              <w:t>F. Waddell</w:t>
            </w:r>
          </w:p>
        </w:tc>
        <w:tc>
          <w:tcPr>
            <w:tcW w:w="7960" w:type="dxa"/>
            <w:vAlign w:val="bottom"/>
            <w:gridSpan w:val="3"/>
          </w:tcPr>
          <w:p>
            <w:pPr>
              <w:ind w:left="460"/>
              <w:spacing w:after="0"/>
              <w:rPr>
                <w:sz w:val="20"/>
                <w:szCs w:val="20"/>
                <w:color w:val="auto"/>
              </w:rPr>
            </w:pPr>
            <w:r>
              <w:rPr>
                <w:rFonts w:ascii="Arial" w:cs="Arial" w:eastAsia="Arial" w:hAnsi="Arial"/>
                <w:sz w:val="16"/>
                <w:szCs w:val="16"/>
                <w:color w:val="auto"/>
              </w:rPr>
              <w:t>members by the NYSE, and the independence requirements set forth in Section 10A(m)(3) of the</w:t>
            </w:r>
          </w:p>
        </w:tc>
        <w:tc>
          <w:tcPr>
            <w:tcW w:w="0" w:type="dxa"/>
            <w:vAlign w:val="bottom"/>
          </w:tcPr>
          <w:p>
            <w:pPr>
              <w:spacing w:after="0"/>
              <w:rPr>
                <w:sz w:val="1"/>
                <w:szCs w:val="1"/>
                <w:color w:val="auto"/>
              </w:rPr>
            </w:pPr>
          </w:p>
        </w:tc>
      </w:tr>
      <w:tr>
        <w:trPr>
          <w:trHeight w:val="133"/>
        </w:trPr>
        <w:tc>
          <w:tcPr>
            <w:tcW w:w="1300" w:type="dxa"/>
            <w:vAlign w:val="bottom"/>
            <w:vMerge w:val="continue"/>
            <w:shd w:val="clear" w:color="auto" w:fill="F2F2F2"/>
          </w:tcPr>
          <w:p>
            <w:pPr>
              <w:spacing w:after="0"/>
              <w:rPr>
                <w:sz w:val="11"/>
                <w:szCs w:val="11"/>
                <w:color w:val="auto"/>
              </w:rPr>
            </w:pPr>
          </w:p>
        </w:tc>
        <w:tc>
          <w:tcPr>
            <w:tcW w:w="6020" w:type="dxa"/>
            <w:vAlign w:val="bottom"/>
            <w:vMerge w:val="restart"/>
          </w:tcPr>
          <w:p>
            <w:pPr>
              <w:ind w:left="460"/>
              <w:spacing w:after="0"/>
              <w:rPr>
                <w:sz w:val="20"/>
                <w:szCs w:val="20"/>
                <w:color w:val="auto"/>
              </w:rPr>
            </w:pPr>
            <w:r>
              <w:rPr>
                <w:rFonts w:ascii="Arial" w:cs="Arial" w:eastAsia="Arial" w:hAnsi="Arial"/>
                <w:sz w:val="16"/>
                <w:szCs w:val="16"/>
                <w:color w:val="auto"/>
              </w:rPr>
              <w:t>Securities Exchange Act of 1934, as amended (the ‘‘Exchange Act’’).</w:t>
            </w: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300" w:type="dxa"/>
            <w:vAlign w:val="bottom"/>
            <w:shd w:val="clear" w:color="auto" w:fill="F2F2F2"/>
          </w:tcPr>
          <w:p>
            <w:pPr>
              <w:spacing w:after="0"/>
              <w:rPr>
                <w:sz w:val="4"/>
                <w:szCs w:val="4"/>
                <w:color w:val="auto"/>
              </w:rPr>
            </w:pPr>
          </w:p>
        </w:tc>
        <w:tc>
          <w:tcPr>
            <w:tcW w:w="6020" w:type="dxa"/>
            <w:vAlign w:val="bottom"/>
            <w:vMerge w:val="continue"/>
          </w:tcPr>
          <w:p>
            <w:pPr>
              <w:spacing w:after="0"/>
              <w:rPr>
                <w:sz w:val="4"/>
                <w:szCs w:val="4"/>
                <w:color w:val="auto"/>
              </w:rPr>
            </w:pPr>
          </w:p>
        </w:tc>
        <w:tc>
          <w:tcPr>
            <w:tcW w:w="1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00" w:type="dxa"/>
            <w:vAlign w:val="bottom"/>
            <w:shd w:val="clear" w:color="auto" w:fill="F2F2F2"/>
          </w:tcPr>
          <w:p>
            <w:pPr>
              <w:spacing w:after="0"/>
              <w:rPr>
                <w:sz w:val="21"/>
                <w:szCs w:val="21"/>
                <w:color w:val="auto"/>
              </w:rPr>
            </w:pPr>
          </w:p>
        </w:tc>
        <w:tc>
          <w:tcPr>
            <w:tcW w:w="7960" w:type="dxa"/>
            <w:vAlign w:val="bottom"/>
            <w:gridSpan w:val="3"/>
          </w:tcPr>
          <w:p>
            <w:pPr>
              <w:ind w:left="2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board of directors has determined that Mr. Freyman, the committee’s chairperson, is an ‘‘audit</w:t>
            </w:r>
          </w:p>
        </w:tc>
        <w:tc>
          <w:tcPr>
            <w:tcW w:w="0" w:type="dxa"/>
            <w:vAlign w:val="bottom"/>
          </w:tcPr>
          <w:p>
            <w:pPr>
              <w:spacing w:after="0"/>
              <w:rPr>
                <w:sz w:val="1"/>
                <w:szCs w:val="1"/>
                <w:color w:val="auto"/>
              </w:rPr>
            </w:pPr>
          </w:p>
        </w:tc>
      </w:tr>
      <w:tr>
        <w:trPr>
          <w:trHeight w:val="208"/>
        </w:trPr>
        <w:tc>
          <w:tcPr>
            <w:tcW w:w="1300" w:type="dxa"/>
            <w:vAlign w:val="bottom"/>
            <w:tcBorders>
              <w:bottom w:val="single" w:sz="8" w:color="F2F2F2"/>
            </w:tcBorders>
            <w:shd w:val="clear" w:color="auto" w:fill="F2F2F2"/>
          </w:tcPr>
          <w:p>
            <w:pPr>
              <w:spacing w:after="0"/>
              <w:rPr>
                <w:sz w:val="18"/>
                <w:szCs w:val="18"/>
                <w:color w:val="auto"/>
              </w:rPr>
            </w:pPr>
          </w:p>
        </w:tc>
        <w:tc>
          <w:tcPr>
            <w:tcW w:w="6020" w:type="dxa"/>
            <w:vAlign w:val="bottom"/>
          </w:tcPr>
          <w:p>
            <w:pPr>
              <w:ind w:left="460"/>
              <w:spacing w:after="0"/>
              <w:rPr>
                <w:sz w:val="20"/>
                <w:szCs w:val="20"/>
                <w:color w:val="auto"/>
              </w:rPr>
            </w:pPr>
            <w:r>
              <w:rPr>
                <w:rFonts w:ascii="Arial" w:cs="Arial" w:eastAsia="Arial" w:hAnsi="Arial"/>
                <w:sz w:val="16"/>
                <w:szCs w:val="16"/>
                <w:color w:val="auto"/>
              </w:rPr>
              <w:t>committee financial expert.’’</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5"/>
        </w:trPr>
        <w:tc>
          <w:tcPr>
            <w:tcW w:w="1300" w:type="dxa"/>
            <w:vAlign w:val="bottom"/>
          </w:tcPr>
          <w:p>
            <w:pPr>
              <w:spacing w:after="0"/>
              <w:rPr>
                <w:sz w:val="24"/>
                <w:szCs w:val="24"/>
                <w:color w:val="auto"/>
              </w:rPr>
            </w:pPr>
          </w:p>
        </w:tc>
        <w:tc>
          <w:tcPr>
            <w:tcW w:w="6020" w:type="dxa"/>
            <w:vAlign w:val="bottom"/>
          </w:tcPr>
          <w:p>
            <w:pPr>
              <w:ind w:left="38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534"/>
        </w:trPr>
        <w:tc>
          <w:tcPr>
            <w:tcW w:w="13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26" w:name="page27"/>
    <w:bookmarkEnd w:id="2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THE BOARD OF DIRECTORS AND ITS COMMITTEES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071D49"/>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5871845" cy="3437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71845" cy="3437255"/>
                    </a:xfrm>
                    <a:prstGeom prst="rect">
                      <a:avLst/>
                    </a:prstGeom>
                    <a:noFill/>
                  </pic:spPr>
                </pic:pic>
              </a:graphicData>
            </a:graphic>
          </wp:anchor>
        </w:drawing>
      </w:r>
    </w:p>
    <w:p>
      <w:pPr>
        <w:spacing w:after="0" w:line="169" w:lineRule="exact"/>
        <w:rPr>
          <w:sz w:val="20"/>
          <w:szCs w:val="20"/>
          <w:color w:val="auto"/>
        </w:rPr>
      </w:pPr>
    </w:p>
    <w:p>
      <w:pPr>
        <w:ind w:left="41"/>
        <w:spacing w:after="0"/>
        <w:tabs>
          <w:tab w:leader="none" w:pos="1501" w:val="left"/>
          <w:tab w:leader="none" w:pos="7421" w:val="left"/>
        </w:tabs>
        <w:rPr>
          <w:sz w:val="20"/>
          <w:szCs w:val="20"/>
          <w:color w:val="auto"/>
        </w:rPr>
      </w:pPr>
      <w:r>
        <w:rPr>
          <w:rFonts w:ascii="Arial" w:cs="Arial" w:eastAsia="Arial" w:hAnsi="Arial"/>
          <w:sz w:val="16"/>
          <w:szCs w:val="16"/>
          <w:b w:val="1"/>
          <w:bCs w:val="1"/>
          <w:color w:val="auto"/>
        </w:rPr>
        <w:t>Members</w:t>
      </w:r>
      <w:r>
        <w:rPr>
          <w:sz w:val="20"/>
          <w:szCs w:val="20"/>
          <w:color w:val="auto"/>
        </w:rPr>
        <w:tab/>
      </w:r>
      <w:r>
        <w:rPr>
          <w:rFonts w:ascii="Arial" w:cs="Arial" w:eastAsia="Arial" w:hAnsi="Arial"/>
          <w:sz w:val="16"/>
          <w:szCs w:val="16"/>
          <w:b w:val="1"/>
          <w:bCs w:val="1"/>
          <w:color w:val="auto"/>
        </w:rPr>
        <w:t>Key Characteristics and Responsibilities</w:t>
      </w:r>
      <w:r>
        <w:rPr>
          <w:sz w:val="20"/>
          <w:szCs w:val="20"/>
          <w:color w:val="auto"/>
        </w:rPr>
        <w:tab/>
      </w:r>
      <w:r>
        <w:rPr>
          <w:rFonts w:ascii="Arial" w:cs="Arial" w:eastAsia="Arial" w:hAnsi="Arial"/>
          <w:sz w:val="16"/>
          <w:szCs w:val="16"/>
          <w:b w:val="1"/>
          <w:bCs w:val="1"/>
          <w:color w:val="auto"/>
        </w:rPr>
        <w:t>Meetings in 2021: 3</w:t>
      </w:r>
    </w:p>
    <w:p>
      <w:pPr>
        <w:sectPr>
          <w:pgSz w:w="11900" w:h="16838" w:orient="portrait"/>
          <w:cols w:equalWidth="0" w:num="1">
            <w:col w:w="9221"/>
          </w:cols>
          <w:pgMar w:left="1319" w:top="53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1" w:right="160" w:hanging="121"/>
        <w:spacing w:after="0" w:line="381" w:lineRule="auto"/>
        <w:tabs>
          <w:tab w:leader="none" w:pos="222"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Austin </w:t>
      </w:r>
      <w:r>
        <w:rPr>
          <w:rFonts w:ascii="Arial" w:cs="Arial" w:eastAsia="Arial" w:hAnsi="Arial"/>
          <w:sz w:val="17"/>
          <w:szCs w:val="17"/>
          <w:b w:val="1"/>
          <w:bCs w:val="1"/>
          <w:color w:val="071D49"/>
        </w:rPr>
        <w:t>(Chair)</w:t>
      </w:r>
    </w:p>
    <w:p>
      <w:pPr>
        <w:ind w:left="1" w:hanging="1"/>
        <w:spacing w:after="0" w:line="398" w:lineRule="auto"/>
        <w:tabs>
          <w:tab w:leader="none" w:pos="191"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Freyman E. Liddy G. Tilton F. Waddell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49" w:right="220" w:hanging="249"/>
        <w:spacing w:after="0" w:line="254" w:lineRule="auto"/>
        <w:tabs>
          <w:tab w:leader="none" w:pos="257"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spacing w:after="0" w:line="23" w:lineRule="exact"/>
        <w:rPr>
          <w:rFonts w:ascii="MS PGothic" w:cs="MS PGothic" w:eastAsia="MS PGothic" w:hAnsi="MS PGothic"/>
          <w:sz w:val="16"/>
          <w:szCs w:val="16"/>
          <w:color w:val="071D49"/>
        </w:rPr>
      </w:pPr>
    </w:p>
    <w:p>
      <w:pPr>
        <w:ind w:left="249" w:right="180" w:hanging="249"/>
        <w:spacing w:after="0" w:line="251" w:lineRule="auto"/>
        <w:tabs>
          <w:tab w:leader="none" w:pos="257"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spacing w:after="0" w:line="36" w:lineRule="exact"/>
        <w:rPr>
          <w:rFonts w:ascii="MS PGothic" w:cs="MS PGothic" w:eastAsia="MS PGothic" w:hAnsi="MS PGothic"/>
          <w:sz w:val="16"/>
          <w:szCs w:val="16"/>
          <w:color w:val="071D49"/>
        </w:rPr>
      </w:pPr>
    </w:p>
    <w:p>
      <w:pPr>
        <w:ind w:left="249" w:right="100" w:hanging="249"/>
        <w:spacing w:after="0" w:line="255" w:lineRule="auto"/>
        <w:tabs>
          <w:tab w:leader="none" w:pos="260"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spacing w:after="0" w:line="35" w:lineRule="exact"/>
        <w:rPr>
          <w:rFonts w:ascii="MS PGothic" w:cs="MS PGothic" w:eastAsia="MS PGothic" w:hAnsi="MS PGothic"/>
          <w:sz w:val="16"/>
          <w:szCs w:val="16"/>
          <w:color w:val="071D49"/>
        </w:rPr>
      </w:pPr>
    </w:p>
    <w:p>
      <w:pPr>
        <w:ind w:left="249" w:right="100" w:hanging="249"/>
        <w:spacing w:after="0" w:line="251" w:lineRule="auto"/>
        <w:tabs>
          <w:tab w:leader="none" w:pos="257"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w:t>
      </w:r>
    </w:p>
    <w:p>
      <w:pPr>
        <w:spacing w:after="0" w:line="23" w:lineRule="exact"/>
        <w:rPr>
          <w:rFonts w:ascii="MS PGothic" w:cs="MS PGothic" w:eastAsia="MS PGothic" w:hAnsi="MS PGothic"/>
          <w:sz w:val="16"/>
          <w:szCs w:val="16"/>
          <w:color w:val="071D49"/>
        </w:rPr>
      </w:pPr>
    </w:p>
    <w:p>
      <w:pPr>
        <w:ind w:left="249" w:right="80" w:hanging="249"/>
        <w:spacing w:after="0" w:line="259" w:lineRule="auto"/>
        <w:tabs>
          <w:tab w:leader="none" w:pos="257"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The compensation committee has the sole authority, under its charter, to select, retain and/or terminate independent advisors who may assist the committee in carrying out its responsibilities.</w:t>
      </w:r>
    </w:p>
    <w:p>
      <w:pPr>
        <w:spacing w:after="0" w:line="34" w:lineRule="exact"/>
        <w:rPr>
          <w:rFonts w:ascii="MS PGothic" w:cs="MS PGothic" w:eastAsia="MS PGothic" w:hAnsi="MS PGothic"/>
          <w:sz w:val="16"/>
          <w:szCs w:val="16"/>
          <w:color w:val="071D49"/>
        </w:rPr>
      </w:pPr>
    </w:p>
    <w:p>
      <w:pPr>
        <w:ind w:left="249" w:hanging="249"/>
        <w:spacing w:after="0" w:line="254" w:lineRule="auto"/>
        <w:tabs>
          <w:tab w:leader="none" w:pos="257" w:val="left"/>
        </w:tabs>
        <w:numPr>
          <w:ilvl w:val="0"/>
          <w:numId w:val="39"/>
        </w:numPr>
        <w:rPr>
          <w:rFonts w:ascii="MS PGothic" w:cs="MS PGothic" w:eastAsia="MS PGothic" w:hAnsi="MS PGothic"/>
          <w:sz w:val="16"/>
          <w:szCs w:val="16"/>
          <w:color w:val="071D49"/>
        </w:rPr>
      </w:pPr>
      <w:r>
        <w:rPr>
          <w:rFonts w:ascii="Arial" w:cs="Arial" w:eastAsia="Arial" w:hAnsi="Arial"/>
          <w:sz w:val="16"/>
          <w:szCs w:val="16"/>
          <w:color w:val="auto"/>
        </w:rPr>
        <w:t>The compensation committee reviews and discusses with management and its independent compensation advisor potential risks associated with AbbVie’s compensation policies and practices as discussed in the ‘‘Compensation Risk Assessment’’ section of this proxy statement. Each member of the committee qualifies as a ‘‘non-employee director’’ for purposes of Rule 16b-3 under the Exchange Act and as an ‘‘outside director’’ for purposes of Internal Revenue Code Section 162(m).</w:t>
      </w:r>
    </w:p>
    <w:p>
      <w:pPr>
        <w:spacing w:after="0" w:line="131" w:lineRule="exact"/>
        <w:rPr>
          <w:sz w:val="20"/>
          <w:szCs w:val="20"/>
          <w:color w:val="auto"/>
        </w:rPr>
      </w:pPr>
    </w:p>
    <w:p>
      <w:pPr>
        <w:sectPr>
          <w:pgSz w:w="11900" w:h="16838" w:orient="portrait"/>
          <w:cols w:equalWidth="0" w:num="2">
            <w:col w:w="941" w:space="571"/>
            <w:col w:w="7709"/>
          </w:cols>
          <w:pgMar w:left="1319" w:top="530" w:right="1359" w:bottom="1440" w:gutter="0" w:footer="0" w:header="0"/>
          <w:type w:val="continuous"/>
        </w:sectPr>
      </w:pPr>
    </w:p>
    <w:p>
      <w:pPr>
        <w:ind w:left="1" w:right="120"/>
        <w:spacing w:after="0" w:line="251" w:lineRule="auto"/>
        <w:rPr>
          <w:sz w:val="20"/>
          <w:szCs w:val="20"/>
          <w:color w:val="auto"/>
        </w:rPr>
      </w:pPr>
      <w:r>
        <w:rPr>
          <w:rFonts w:ascii="Arial" w:cs="Arial" w:eastAsia="Arial" w:hAnsi="Arial"/>
          <w:sz w:val="17"/>
          <w:szCs w:val="17"/>
          <w:color w:val="auto"/>
        </w:rPr>
        <w:t>The committee has engaged Compensation Advisory Partners (CAP) as its independent compensation consultant. The independent compensation consultant provides counsel and advice to the committee on executive and non-employee director compensation matters. CAP, and its principal, report directly to the chair of the committee. The principal meets regularly, and as needed, with the committee in executive sessions, and has direct access to the committee chair during and between meetings. The committee determines what variables it will instruct CAP to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CAP for these services. AbbVie did not engage CAP to perform any other services during 2021.</w:t>
      </w:r>
    </w:p>
    <w:p>
      <w:pPr>
        <w:spacing w:after="0" w:line="91" w:lineRule="exact"/>
        <w:rPr>
          <w:sz w:val="20"/>
          <w:szCs w:val="20"/>
          <w:color w:val="auto"/>
        </w:rPr>
      </w:pPr>
    </w:p>
    <w:p>
      <w:pPr>
        <w:ind w:left="1" w:right="180"/>
        <w:spacing w:after="0" w:line="238" w:lineRule="auto"/>
        <w:rPr>
          <w:sz w:val="20"/>
          <w:szCs w:val="20"/>
          <w:color w:val="auto"/>
        </w:rPr>
      </w:pPr>
      <w:r>
        <w:rPr>
          <w:rFonts w:ascii="Arial" w:cs="Arial" w:eastAsia="Arial" w:hAnsi="Arial"/>
          <w:sz w:val="18"/>
          <w:szCs w:val="18"/>
          <w:color w:val="auto"/>
        </w:rPr>
        <w:t>Based on an assessment of internally developed information and information provided by CAP, the committee has determined that its independent compensation advisor does not have a conflict of interest. A copy of the compensation committee report is included in the ‘‘Compensation Committee Report’’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874395" cy="16319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588073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21"/>
          </w:cols>
          <w:pgMar w:left="1319" w:top="530" w:right="1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808080"/>
        </w:rPr>
        <w:t>THE BOARD OF DIRECTORS AND ITS COMMITTEES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831215" cy="2160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1215" cy="216027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80" w:type="dxa"/>
            <w:vAlign w:val="bottom"/>
          </w:tcPr>
          <w:p>
            <w:pPr>
              <w:ind w:left="40"/>
              <w:spacing w:after="0"/>
              <w:rPr>
                <w:sz w:val="20"/>
                <w:szCs w:val="20"/>
                <w:color w:val="auto"/>
              </w:rPr>
            </w:pPr>
            <w:r>
              <w:rPr>
                <w:rFonts w:ascii="Arial" w:cs="Arial" w:eastAsia="Arial" w:hAnsi="Arial"/>
                <w:sz w:val="16"/>
                <w:szCs w:val="16"/>
                <w:b w:val="1"/>
                <w:bCs w:val="1"/>
                <w:color w:val="auto"/>
              </w:rPr>
              <w:t>Members</w:t>
            </w:r>
          </w:p>
        </w:tc>
        <w:tc>
          <w:tcPr>
            <w:tcW w:w="6120" w:type="dxa"/>
            <w:vAlign w:val="bottom"/>
          </w:tcPr>
          <w:p>
            <w:pPr>
              <w:ind w:left="240"/>
              <w:spacing w:after="0"/>
              <w:rPr>
                <w:sz w:val="20"/>
                <w:szCs w:val="20"/>
                <w:color w:val="auto"/>
              </w:rPr>
            </w:pPr>
            <w:r>
              <w:rPr>
                <w:rFonts w:ascii="Arial" w:cs="Arial" w:eastAsia="Arial" w:hAnsi="Arial"/>
                <w:sz w:val="16"/>
                <w:szCs w:val="16"/>
                <w:b w:val="1"/>
                <w:bCs w:val="1"/>
                <w:color w:val="auto"/>
              </w:rPr>
              <w:t>Key Characteristics and Responsibilities</w:t>
            </w:r>
          </w:p>
        </w:tc>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Meetings in 2021: 4</w:t>
            </w:r>
          </w:p>
        </w:tc>
        <w:tc>
          <w:tcPr>
            <w:tcW w:w="0" w:type="dxa"/>
            <w:vAlign w:val="bottom"/>
          </w:tcPr>
          <w:p>
            <w:pPr>
              <w:spacing w:after="0"/>
              <w:rPr>
                <w:sz w:val="1"/>
                <w:szCs w:val="1"/>
                <w:color w:val="auto"/>
              </w:rPr>
            </w:pPr>
          </w:p>
        </w:tc>
      </w:tr>
      <w:tr>
        <w:trPr>
          <w:trHeight w:val="80"/>
        </w:trPr>
        <w:tc>
          <w:tcPr>
            <w:tcW w:w="1280" w:type="dxa"/>
            <w:vAlign w:val="bottom"/>
            <w:tcBorders>
              <w:bottom w:val="single" w:sz="8" w:color="071D49"/>
            </w:tcBorders>
          </w:tcPr>
          <w:p>
            <w:pPr>
              <w:spacing w:after="0"/>
              <w:rPr>
                <w:sz w:val="7"/>
                <w:szCs w:val="7"/>
                <w:color w:val="auto"/>
              </w:rPr>
            </w:pPr>
          </w:p>
        </w:tc>
        <w:tc>
          <w:tcPr>
            <w:tcW w:w="79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7960" w:type="dxa"/>
            <w:vAlign w:val="bottom"/>
            <w:gridSpan w:val="2"/>
          </w:tcPr>
          <w:p>
            <w:pPr>
              <w:ind w:left="2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nominations and governance committee is governed by a written charter. The charter sets forth the</w:t>
            </w:r>
          </w:p>
        </w:tc>
        <w:tc>
          <w:tcPr>
            <w:tcW w:w="0" w:type="dxa"/>
            <w:vAlign w:val="bottom"/>
          </w:tcPr>
          <w:p>
            <w:pPr>
              <w:spacing w:after="0"/>
              <w:rPr>
                <w:sz w:val="1"/>
                <w:szCs w:val="1"/>
                <w:color w:val="auto"/>
              </w:rPr>
            </w:pPr>
          </w:p>
        </w:tc>
      </w:tr>
      <w:tr>
        <w:trPr>
          <w:trHeight w:val="189"/>
        </w:trPr>
        <w:tc>
          <w:tcPr>
            <w:tcW w:w="1280" w:type="dxa"/>
            <w:vAlign w:val="bottom"/>
          </w:tcPr>
          <w:p>
            <w:pPr>
              <w:spacing w:after="0"/>
              <w:rPr>
                <w:sz w:val="16"/>
                <w:szCs w:val="16"/>
                <w:color w:val="auto"/>
              </w:rPr>
            </w:pP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purposes of the nominations and governance committee, identifies qualifications required for the</w:t>
            </w:r>
          </w:p>
        </w:tc>
        <w:tc>
          <w:tcPr>
            <w:tcW w:w="0" w:type="dxa"/>
            <w:vAlign w:val="bottom"/>
          </w:tcPr>
          <w:p>
            <w:pPr>
              <w:spacing w:after="0"/>
              <w:rPr>
                <w:sz w:val="1"/>
                <w:szCs w:val="1"/>
                <w:color w:val="auto"/>
              </w:rPr>
            </w:pPr>
          </w:p>
        </w:tc>
      </w:tr>
      <w:tr>
        <w:trPr>
          <w:trHeight w:val="18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 Alpern</w:t>
            </w: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nominations and governance committee members, and describes the committee’s authority and</w:t>
            </w:r>
          </w:p>
        </w:tc>
        <w:tc>
          <w:tcPr>
            <w:tcW w:w="0" w:type="dxa"/>
            <w:vAlign w:val="bottom"/>
          </w:tcPr>
          <w:p>
            <w:pPr>
              <w:spacing w:after="0"/>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6120" w:type="dxa"/>
            <w:vAlign w:val="bottom"/>
            <w:vMerge w:val="restart"/>
          </w:tcPr>
          <w:p>
            <w:pPr>
              <w:ind w:left="480"/>
              <w:spacing w:after="0" w:line="175" w:lineRule="exact"/>
              <w:rPr>
                <w:sz w:val="20"/>
                <w:szCs w:val="20"/>
                <w:color w:val="auto"/>
              </w:rPr>
            </w:pPr>
            <w:r>
              <w:rPr>
                <w:rFonts w:ascii="Arial" w:cs="Arial" w:eastAsia="Arial" w:hAnsi="Arial"/>
                <w:sz w:val="16"/>
                <w:szCs w:val="16"/>
                <w:color w:val="auto"/>
              </w:rPr>
              <w:t>responsibilities.</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280" w:type="dxa"/>
            <w:vAlign w:val="bottom"/>
          </w:tcPr>
          <w:p>
            <w:pPr>
              <w:spacing w:after="0"/>
              <w:rPr>
                <w:sz w:val="4"/>
                <w:szCs w:val="4"/>
                <w:color w:val="auto"/>
              </w:rPr>
            </w:pPr>
          </w:p>
        </w:tc>
        <w:tc>
          <w:tcPr>
            <w:tcW w:w="6120" w:type="dxa"/>
            <w:vAlign w:val="bottom"/>
            <w:vMerge w:val="continue"/>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8"/>
                <w:szCs w:val="18"/>
                <w:b w:val="1"/>
                <w:bCs w:val="1"/>
                <w:color w:val="auto"/>
              </w:rPr>
              <w:t>W. Burnside</w:t>
            </w:r>
          </w:p>
        </w:tc>
        <w:tc>
          <w:tcPr>
            <w:tcW w:w="7960" w:type="dxa"/>
            <w:vAlign w:val="bottom"/>
            <w:gridSpan w:val="2"/>
          </w:tcPr>
          <w:p>
            <w:pPr>
              <w:ind w:left="2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This committee assists the board of directors in identifying individuals qualified to become board</w:t>
            </w:r>
          </w:p>
        </w:tc>
        <w:tc>
          <w:tcPr>
            <w:tcW w:w="0" w:type="dxa"/>
            <w:vAlign w:val="bottom"/>
          </w:tcPr>
          <w:p>
            <w:pPr>
              <w:spacing w:after="0"/>
              <w:rPr>
                <w:sz w:val="1"/>
                <w:szCs w:val="1"/>
                <w:color w:val="auto"/>
              </w:rPr>
            </w:pPr>
          </w:p>
        </w:tc>
      </w:tr>
      <w:tr>
        <w:trPr>
          <w:trHeight w:val="189"/>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B. Hart</w:t>
            </w: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members and recommends to the board the nominees for election as directors at the next annual</w:t>
            </w:r>
          </w:p>
        </w:tc>
        <w:tc>
          <w:tcPr>
            <w:tcW w:w="0" w:type="dxa"/>
            <w:vAlign w:val="bottom"/>
          </w:tcPr>
          <w:p>
            <w:pPr>
              <w:spacing w:after="0"/>
              <w:rPr>
                <w:sz w:val="1"/>
                <w:szCs w:val="1"/>
                <w:color w:val="auto"/>
              </w:rPr>
            </w:pPr>
          </w:p>
        </w:tc>
      </w:tr>
      <w:tr>
        <w:trPr>
          <w:trHeight w:val="133"/>
        </w:trPr>
        <w:tc>
          <w:tcPr>
            <w:tcW w:w="1280" w:type="dxa"/>
            <w:vAlign w:val="bottom"/>
            <w:vMerge w:val="continue"/>
          </w:tcPr>
          <w:p>
            <w:pPr>
              <w:spacing w:after="0"/>
              <w:rPr>
                <w:sz w:val="11"/>
                <w:szCs w:val="11"/>
                <w:color w:val="auto"/>
              </w:rPr>
            </w:pPr>
          </w:p>
        </w:tc>
        <w:tc>
          <w:tcPr>
            <w:tcW w:w="7960" w:type="dxa"/>
            <w:vAlign w:val="bottom"/>
            <w:gridSpan w:val="2"/>
            <w:vMerge w:val="restart"/>
          </w:tcPr>
          <w:p>
            <w:pPr>
              <w:ind w:left="480"/>
              <w:spacing w:after="0"/>
              <w:rPr>
                <w:sz w:val="20"/>
                <w:szCs w:val="20"/>
                <w:color w:val="auto"/>
              </w:rPr>
            </w:pPr>
            <w:r>
              <w:rPr>
                <w:rFonts w:ascii="Arial" w:cs="Arial" w:eastAsia="Arial" w:hAnsi="Arial"/>
                <w:sz w:val="16"/>
                <w:szCs w:val="16"/>
                <w:color w:val="auto"/>
              </w:rPr>
              <w:t>meeting of stockholders, recommends to the board the persons to be elected as executive officers of</w:t>
            </w:r>
          </w:p>
        </w:tc>
        <w:tc>
          <w:tcPr>
            <w:tcW w:w="0" w:type="dxa"/>
            <w:vAlign w:val="bottom"/>
          </w:tcPr>
          <w:p>
            <w:pPr>
              <w:spacing w:after="0"/>
              <w:rPr>
                <w:sz w:val="1"/>
                <w:szCs w:val="1"/>
                <w:color w:val="auto"/>
              </w:rPr>
            </w:pPr>
          </w:p>
        </w:tc>
      </w:tr>
      <w:tr>
        <w:trPr>
          <w:trHeight w:val="56"/>
        </w:trPr>
        <w:tc>
          <w:tcPr>
            <w:tcW w:w="1280" w:type="dxa"/>
            <w:vAlign w:val="bottom"/>
          </w:tcPr>
          <w:p>
            <w:pPr>
              <w:spacing w:after="0"/>
              <w:rPr>
                <w:sz w:val="4"/>
                <w:szCs w:val="4"/>
                <w:color w:val="auto"/>
              </w:rPr>
            </w:pPr>
          </w:p>
        </w:tc>
        <w:tc>
          <w:tcPr>
            <w:tcW w:w="7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80" w:type="dxa"/>
            <w:vAlign w:val="bottom"/>
          </w:tcPr>
          <w:p>
            <w:pPr>
              <w:spacing w:after="0" w:line="189" w:lineRule="exact"/>
              <w:rPr>
                <w:sz w:val="20"/>
                <w:szCs w:val="20"/>
                <w:color w:val="auto"/>
              </w:rPr>
            </w:pPr>
            <w:r>
              <w:rPr>
                <w:rFonts w:ascii="Arial" w:cs="Arial" w:eastAsia="Arial" w:hAnsi="Arial"/>
                <w:sz w:val="18"/>
                <w:szCs w:val="18"/>
                <w:b w:val="1"/>
                <w:bCs w:val="1"/>
                <w:color w:val="auto"/>
              </w:rPr>
              <w:t>E. Rapp</w:t>
            </w: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AbbVie, recommends to the board the corporate governance guidelines applicable to AbbVie, oversees</w:t>
            </w:r>
          </w:p>
        </w:tc>
        <w:tc>
          <w:tcPr>
            <w:tcW w:w="0" w:type="dxa"/>
            <w:vAlign w:val="bottom"/>
          </w:tcPr>
          <w:p>
            <w:pPr>
              <w:spacing w:after="0"/>
              <w:rPr>
                <w:sz w:val="1"/>
                <w:szCs w:val="1"/>
                <w:color w:val="auto"/>
              </w:rPr>
            </w:pPr>
          </w:p>
        </w:tc>
      </w:tr>
      <w:tr>
        <w:trPr>
          <w:trHeight w:val="189"/>
        </w:trPr>
        <w:tc>
          <w:tcPr>
            <w:tcW w:w="1280" w:type="dxa"/>
            <w:vAlign w:val="bottom"/>
            <w:vMerge w:val="restart"/>
          </w:tcPr>
          <w:p>
            <w:pPr>
              <w:ind w:left="120"/>
              <w:spacing w:after="0"/>
              <w:rPr>
                <w:sz w:val="20"/>
                <w:szCs w:val="20"/>
                <w:color w:val="auto"/>
              </w:rPr>
            </w:pPr>
            <w:r>
              <w:rPr>
                <w:rFonts w:ascii="Arial" w:cs="Arial" w:eastAsia="Arial" w:hAnsi="Arial"/>
                <w:sz w:val="18"/>
                <w:szCs w:val="18"/>
                <w:b w:val="1"/>
                <w:bCs w:val="1"/>
                <w:color w:val="071D49"/>
              </w:rPr>
              <w:t>(Chair)</w:t>
            </w: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the evaluation of the board and management, and serves in an advisory capacity to the board and the</w:t>
            </w:r>
          </w:p>
        </w:tc>
        <w:tc>
          <w:tcPr>
            <w:tcW w:w="0" w:type="dxa"/>
            <w:vAlign w:val="bottom"/>
          </w:tcPr>
          <w:p>
            <w:pPr>
              <w:spacing w:after="0"/>
              <w:rPr>
                <w:sz w:val="1"/>
                <w:szCs w:val="1"/>
                <w:color w:val="auto"/>
              </w:rPr>
            </w:pPr>
          </w:p>
        </w:tc>
      </w:tr>
      <w:tr>
        <w:trPr>
          <w:trHeight w:val="189"/>
        </w:trPr>
        <w:tc>
          <w:tcPr>
            <w:tcW w:w="1280" w:type="dxa"/>
            <w:vAlign w:val="bottom"/>
            <w:vMerge w:val="continue"/>
          </w:tcPr>
          <w:p>
            <w:pPr>
              <w:spacing w:after="0"/>
              <w:rPr>
                <w:sz w:val="16"/>
                <w:szCs w:val="16"/>
                <w:color w:val="auto"/>
              </w:rPr>
            </w:pPr>
          </w:p>
        </w:tc>
        <w:tc>
          <w:tcPr>
            <w:tcW w:w="7960" w:type="dxa"/>
            <w:vAlign w:val="bottom"/>
            <w:gridSpan w:val="2"/>
          </w:tcPr>
          <w:p>
            <w:pPr>
              <w:ind w:left="480"/>
              <w:spacing w:after="0"/>
              <w:rPr>
                <w:sz w:val="20"/>
                <w:szCs w:val="20"/>
                <w:color w:val="auto"/>
              </w:rPr>
            </w:pPr>
            <w:r>
              <w:rPr>
                <w:rFonts w:ascii="Arial" w:cs="Arial" w:eastAsia="Arial" w:hAnsi="Arial"/>
                <w:sz w:val="16"/>
                <w:szCs w:val="16"/>
                <w:color w:val="auto"/>
              </w:rPr>
              <w:t>chairman of the board on matters of organization, management succession plans, major changes in the</w:t>
            </w:r>
          </w:p>
        </w:tc>
        <w:tc>
          <w:tcPr>
            <w:tcW w:w="0" w:type="dxa"/>
            <w:vAlign w:val="bottom"/>
          </w:tcPr>
          <w:p>
            <w:pPr>
              <w:spacing w:after="0"/>
              <w:rPr>
                <w:sz w:val="1"/>
                <w:szCs w:val="1"/>
                <w:color w:val="auto"/>
              </w:rPr>
            </w:pPr>
          </w:p>
        </w:tc>
      </w:tr>
      <w:tr>
        <w:trPr>
          <w:trHeight w:val="188"/>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R. Roberts</w:t>
            </w:r>
          </w:p>
        </w:tc>
        <w:tc>
          <w:tcPr>
            <w:tcW w:w="6120" w:type="dxa"/>
            <w:vAlign w:val="bottom"/>
          </w:tcPr>
          <w:p>
            <w:pPr>
              <w:ind w:left="480"/>
              <w:spacing w:after="0"/>
              <w:rPr>
                <w:sz w:val="20"/>
                <w:szCs w:val="20"/>
                <w:color w:val="auto"/>
              </w:rPr>
            </w:pPr>
            <w:r>
              <w:rPr>
                <w:rFonts w:ascii="Arial" w:cs="Arial" w:eastAsia="Arial" w:hAnsi="Arial"/>
                <w:sz w:val="16"/>
                <w:szCs w:val="16"/>
                <w:color w:val="auto"/>
              </w:rPr>
              <w:t>organizational structure of AbbVie, and the conduct of board activities.</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80" w:type="dxa"/>
            <w:vAlign w:val="bottom"/>
            <w:vMerge w:val="continue"/>
          </w:tcPr>
          <w:p>
            <w:pPr>
              <w:spacing w:after="0"/>
              <w:rPr>
                <w:sz w:val="10"/>
                <w:szCs w:val="10"/>
                <w:color w:val="auto"/>
              </w:rPr>
            </w:pPr>
          </w:p>
        </w:tc>
        <w:tc>
          <w:tcPr>
            <w:tcW w:w="7960" w:type="dxa"/>
            <w:vAlign w:val="bottom"/>
            <w:gridSpan w:val="2"/>
            <w:vMerge w:val="restart"/>
          </w:tcPr>
          <w:p>
            <w:pPr>
              <w:ind w:left="2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process used by this committee to identify a nominee to serve as a member of the board of</w:t>
            </w:r>
          </w:p>
        </w:tc>
        <w:tc>
          <w:tcPr>
            <w:tcW w:w="0" w:type="dxa"/>
            <w:vAlign w:val="bottom"/>
          </w:tcPr>
          <w:p>
            <w:pPr>
              <w:spacing w:after="0"/>
              <w:rPr>
                <w:sz w:val="1"/>
                <w:szCs w:val="1"/>
                <w:color w:val="auto"/>
              </w:rPr>
            </w:pPr>
          </w:p>
        </w:tc>
      </w:tr>
      <w:tr>
        <w:trPr>
          <w:trHeight w:val="123"/>
        </w:trPr>
        <w:tc>
          <w:tcPr>
            <w:tcW w:w="1280" w:type="dxa"/>
            <w:vAlign w:val="bottom"/>
            <w:vMerge w:val="restart"/>
          </w:tcPr>
          <w:p>
            <w:pPr>
              <w:spacing w:after="0"/>
              <w:rPr>
                <w:sz w:val="20"/>
                <w:szCs w:val="20"/>
                <w:color w:val="auto"/>
              </w:rPr>
            </w:pPr>
            <w:r>
              <w:rPr>
                <w:rFonts w:ascii="Arial" w:cs="Arial" w:eastAsia="Arial" w:hAnsi="Arial"/>
                <w:sz w:val="18"/>
                <w:szCs w:val="18"/>
                <w:b w:val="1"/>
                <w:bCs w:val="1"/>
                <w:color w:val="auto"/>
              </w:rPr>
              <w:t>G. Tilton</w:t>
            </w:r>
          </w:p>
        </w:tc>
        <w:tc>
          <w:tcPr>
            <w:tcW w:w="7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6120" w:type="dxa"/>
            <w:vAlign w:val="bottom"/>
          </w:tcPr>
          <w:p>
            <w:pPr>
              <w:ind w:left="480"/>
              <w:spacing w:after="0"/>
              <w:rPr>
                <w:sz w:val="20"/>
                <w:szCs w:val="20"/>
                <w:color w:val="auto"/>
              </w:rPr>
            </w:pPr>
            <w:r>
              <w:rPr>
                <w:rFonts w:ascii="Arial" w:cs="Arial" w:eastAsia="Arial" w:hAnsi="Arial"/>
                <w:sz w:val="16"/>
                <w:szCs w:val="16"/>
                <w:color w:val="auto"/>
              </w:rPr>
              <w:t>directors depends on the qualities being sought, as described on pages 21-23.</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760" w:right="500" w:hanging="258"/>
        <w:spacing w:after="0" w:line="199" w:lineRule="exact"/>
        <w:tabs>
          <w:tab w:leader="none" w:pos="1740" w:val="left"/>
        </w:tabs>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ab/>
        <w:t>From time to time, AbbVie engages an executive search firm to assist the committee in identifying individuals qualified to be board members.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Public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831215" cy="1688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31215" cy="168846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ind w:left="40"/>
              <w:spacing w:after="0"/>
              <w:rPr>
                <w:sz w:val="20"/>
                <w:szCs w:val="20"/>
                <w:color w:val="auto"/>
              </w:rPr>
            </w:pPr>
            <w:r>
              <w:rPr>
                <w:rFonts w:ascii="Arial" w:cs="Arial" w:eastAsia="Arial" w:hAnsi="Arial"/>
                <w:sz w:val="16"/>
                <w:szCs w:val="16"/>
                <w:b w:val="1"/>
                <w:bCs w:val="1"/>
                <w:color w:val="auto"/>
              </w:rPr>
              <w:t>Members</w:t>
            </w:r>
          </w:p>
        </w:tc>
        <w:tc>
          <w:tcPr>
            <w:tcW w:w="5400" w:type="dxa"/>
            <w:vAlign w:val="bottom"/>
          </w:tcPr>
          <w:p>
            <w:pPr>
              <w:ind w:left="320"/>
              <w:spacing w:after="0"/>
              <w:rPr>
                <w:sz w:val="20"/>
                <w:szCs w:val="20"/>
                <w:color w:val="auto"/>
              </w:rPr>
            </w:pPr>
            <w:r>
              <w:rPr>
                <w:rFonts w:ascii="Arial" w:cs="Arial" w:eastAsia="Arial" w:hAnsi="Arial"/>
                <w:sz w:val="16"/>
                <w:szCs w:val="16"/>
                <w:b w:val="1"/>
                <w:bCs w:val="1"/>
                <w:color w:val="auto"/>
              </w:rPr>
              <w:t>Key Characteristics and Responsibilities</w:t>
            </w:r>
          </w:p>
        </w:tc>
        <w:tc>
          <w:tcPr>
            <w:tcW w:w="2660" w:type="dxa"/>
            <w:vAlign w:val="bottom"/>
            <w:gridSpan w:val="2"/>
          </w:tcPr>
          <w:p>
            <w:pPr>
              <w:ind w:left="840"/>
              <w:spacing w:after="0"/>
              <w:rPr>
                <w:sz w:val="20"/>
                <w:szCs w:val="20"/>
                <w:color w:val="auto"/>
              </w:rPr>
            </w:pPr>
            <w:r>
              <w:rPr>
                <w:rFonts w:ascii="Arial" w:cs="Arial" w:eastAsia="Arial" w:hAnsi="Arial"/>
                <w:sz w:val="16"/>
                <w:szCs w:val="16"/>
                <w:b w:val="1"/>
                <w:bCs w:val="1"/>
                <w:color w:val="auto"/>
              </w:rPr>
              <w:t>Meetings in 2021: 4</w:t>
            </w:r>
          </w:p>
        </w:tc>
        <w:tc>
          <w:tcPr>
            <w:tcW w:w="0" w:type="dxa"/>
            <w:vAlign w:val="bottom"/>
          </w:tcPr>
          <w:p>
            <w:pPr>
              <w:spacing w:after="0"/>
              <w:rPr>
                <w:sz w:val="1"/>
                <w:szCs w:val="1"/>
                <w:color w:val="auto"/>
              </w:rPr>
            </w:pPr>
          </w:p>
        </w:tc>
      </w:tr>
      <w:tr>
        <w:trPr>
          <w:trHeight w:val="81"/>
        </w:trPr>
        <w:tc>
          <w:tcPr>
            <w:tcW w:w="1200" w:type="dxa"/>
            <w:vAlign w:val="bottom"/>
            <w:tcBorders>
              <w:bottom w:val="single" w:sz="8" w:color="071D49"/>
            </w:tcBorders>
          </w:tcPr>
          <w:p>
            <w:pPr>
              <w:spacing w:after="0"/>
              <w:rPr>
                <w:sz w:val="7"/>
                <w:szCs w:val="7"/>
                <w:color w:val="auto"/>
              </w:rPr>
            </w:pPr>
          </w:p>
        </w:tc>
        <w:tc>
          <w:tcPr>
            <w:tcW w:w="8040" w:type="dxa"/>
            <w:vAlign w:val="bottom"/>
            <w:tcBorders>
              <w:bottom w:val="single" w:sz="8" w:color="071D49"/>
            </w:tcBorders>
            <w:gridSpan w:val="2"/>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R. Alpern</w:t>
            </w:r>
          </w:p>
        </w:tc>
        <w:tc>
          <w:tcPr>
            <w:tcW w:w="8040" w:type="dxa"/>
            <w:vAlign w:val="bottom"/>
            <w:gridSpan w:val="2"/>
          </w:tcPr>
          <w:p>
            <w:pPr>
              <w:ind w:left="3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The public policy committee is governed by a written charter. The charter sets forth the purposes of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200" w:type="dxa"/>
            <w:vAlign w:val="bottom"/>
            <w:vMerge w:val="continue"/>
          </w:tcPr>
          <w:p>
            <w:pPr>
              <w:spacing w:after="0"/>
              <w:rPr>
                <w:sz w:val="10"/>
                <w:szCs w:val="10"/>
                <w:color w:val="auto"/>
              </w:rPr>
            </w:pPr>
          </w:p>
        </w:tc>
        <w:tc>
          <w:tcPr>
            <w:tcW w:w="8060" w:type="dxa"/>
            <w:vAlign w:val="bottom"/>
            <w:gridSpan w:val="3"/>
            <w:vMerge w:val="restart"/>
          </w:tcPr>
          <w:p>
            <w:pPr>
              <w:ind w:left="560"/>
              <w:spacing w:after="0"/>
              <w:rPr>
                <w:sz w:val="20"/>
                <w:szCs w:val="20"/>
                <w:color w:val="auto"/>
              </w:rPr>
            </w:pPr>
            <w:r>
              <w:rPr>
                <w:rFonts w:ascii="Arial" w:cs="Arial" w:eastAsia="Arial" w:hAnsi="Arial"/>
                <w:sz w:val="16"/>
                <w:szCs w:val="16"/>
                <w:color w:val="auto"/>
              </w:rPr>
              <w:t>public policy committee, identifies qualifications required for the public policy committee members, and</w:t>
            </w:r>
          </w:p>
        </w:tc>
        <w:tc>
          <w:tcPr>
            <w:tcW w:w="0" w:type="dxa"/>
            <w:vAlign w:val="bottom"/>
          </w:tcPr>
          <w:p>
            <w:pPr>
              <w:spacing w:after="0"/>
              <w:rPr>
                <w:sz w:val="1"/>
                <w:szCs w:val="1"/>
                <w:color w:val="auto"/>
              </w:rPr>
            </w:pPr>
          </w:p>
        </w:tc>
      </w:tr>
      <w:tr>
        <w:trPr>
          <w:trHeight w:val="69"/>
        </w:trPr>
        <w:tc>
          <w:tcPr>
            <w:tcW w:w="1200" w:type="dxa"/>
            <w:vAlign w:val="bottom"/>
          </w:tcPr>
          <w:p>
            <w:pPr>
              <w:spacing w:after="0"/>
              <w:rPr>
                <w:sz w:val="6"/>
                <w:szCs w:val="6"/>
                <w:color w:val="auto"/>
              </w:rPr>
            </w:pPr>
          </w:p>
        </w:tc>
        <w:tc>
          <w:tcPr>
            <w:tcW w:w="8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200" w:type="dxa"/>
            <w:vAlign w:val="bottom"/>
          </w:tcPr>
          <w:p>
            <w:pPr>
              <w:spacing w:after="0" w:line="187" w:lineRule="exact"/>
              <w:rPr>
                <w:sz w:val="20"/>
                <w:szCs w:val="20"/>
                <w:color w:val="auto"/>
              </w:rPr>
            </w:pPr>
            <w:r>
              <w:rPr>
                <w:rFonts w:ascii="Arial" w:cs="Arial" w:eastAsia="Arial" w:hAnsi="Arial"/>
                <w:sz w:val="18"/>
                <w:szCs w:val="18"/>
                <w:b w:val="1"/>
                <w:bCs w:val="1"/>
                <w:color w:val="auto"/>
              </w:rPr>
              <w:t>B. Hart</w:t>
            </w:r>
          </w:p>
        </w:tc>
        <w:tc>
          <w:tcPr>
            <w:tcW w:w="5400" w:type="dxa"/>
            <w:vAlign w:val="bottom"/>
          </w:tcPr>
          <w:p>
            <w:pPr>
              <w:ind w:left="560"/>
              <w:spacing w:after="0"/>
              <w:rPr>
                <w:sz w:val="20"/>
                <w:szCs w:val="20"/>
                <w:color w:val="auto"/>
              </w:rPr>
            </w:pPr>
            <w:r>
              <w:rPr>
                <w:rFonts w:ascii="Arial" w:cs="Arial" w:eastAsia="Arial" w:hAnsi="Arial"/>
                <w:sz w:val="16"/>
                <w:szCs w:val="16"/>
                <w:color w:val="auto"/>
              </w:rPr>
              <w:t>describes the committee’s authority and responsibilities.</w:t>
            </w:r>
          </w:p>
        </w:tc>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200" w:type="dxa"/>
            <w:vAlign w:val="bottom"/>
            <w:vMerge w:val="restart"/>
          </w:tcPr>
          <w:p>
            <w:pPr>
              <w:ind w:left="120"/>
              <w:spacing w:after="0"/>
              <w:rPr>
                <w:sz w:val="20"/>
                <w:szCs w:val="20"/>
                <w:color w:val="auto"/>
              </w:rPr>
            </w:pPr>
            <w:r>
              <w:rPr>
                <w:rFonts w:ascii="Arial" w:cs="Arial" w:eastAsia="Arial" w:hAnsi="Arial"/>
                <w:sz w:val="18"/>
                <w:szCs w:val="18"/>
                <w:b w:val="1"/>
                <w:bCs w:val="1"/>
                <w:color w:val="071D49"/>
              </w:rPr>
              <w:t>(Chair)</w:t>
            </w:r>
          </w:p>
        </w:tc>
        <w:tc>
          <w:tcPr>
            <w:tcW w:w="8060" w:type="dxa"/>
            <w:vAlign w:val="bottom"/>
            <w:gridSpan w:val="3"/>
          </w:tcPr>
          <w:p>
            <w:pPr>
              <w:ind w:left="3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This committee assists the board of directors in fulfilling its oversight responsibility with respect to</w:t>
            </w:r>
          </w:p>
        </w:tc>
        <w:tc>
          <w:tcPr>
            <w:tcW w:w="0" w:type="dxa"/>
            <w:vAlign w:val="bottom"/>
          </w:tcPr>
          <w:p>
            <w:pPr>
              <w:spacing w:after="0"/>
              <w:rPr>
                <w:sz w:val="1"/>
                <w:szCs w:val="1"/>
                <w:color w:val="auto"/>
              </w:rPr>
            </w:pPr>
          </w:p>
        </w:tc>
      </w:tr>
      <w:tr>
        <w:trPr>
          <w:trHeight w:val="133"/>
        </w:trPr>
        <w:tc>
          <w:tcPr>
            <w:tcW w:w="1200" w:type="dxa"/>
            <w:vAlign w:val="bottom"/>
            <w:vMerge w:val="continue"/>
          </w:tcPr>
          <w:p>
            <w:pPr>
              <w:spacing w:after="0"/>
              <w:rPr>
                <w:sz w:val="11"/>
                <w:szCs w:val="11"/>
                <w:color w:val="auto"/>
              </w:rPr>
            </w:pPr>
          </w:p>
        </w:tc>
        <w:tc>
          <w:tcPr>
            <w:tcW w:w="8060" w:type="dxa"/>
            <w:vAlign w:val="bottom"/>
            <w:gridSpan w:val="3"/>
            <w:vMerge w:val="restart"/>
          </w:tcPr>
          <w:p>
            <w:pPr>
              <w:ind w:left="560"/>
              <w:spacing w:after="0"/>
              <w:rPr>
                <w:sz w:val="20"/>
                <w:szCs w:val="20"/>
                <w:color w:val="auto"/>
              </w:rPr>
            </w:pPr>
            <w:r>
              <w:rPr>
                <w:rFonts w:ascii="Arial" w:cs="Arial" w:eastAsia="Arial" w:hAnsi="Arial"/>
                <w:sz w:val="16"/>
                <w:szCs w:val="16"/>
                <w:color w:val="auto"/>
              </w:rPr>
              <w:t>AbbVie’s public policy, certain areas of legal and regulatory compliance, governmental affairs,</w:t>
            </w:r>
          </w:p>
        </w:tc>
        <w:tc>
          <w:tcPr>
            <w:tcW w:w="0" w:type="dxa"/>
            <w:vAlign w:val="bottom"/>
          </w:tcPr>
          <w:p>
            <w:pPr>
              <w:spacing w:after="0"/>
              <w:rPr>
                <w:sz w:val="1"/>
                <w:szCs w:val="1"/>
                <w:color w:val="auto"/>
              </w:rPr>
            </w:pPr>
          </w:p>
        </w:tc>
      </w:tr>
      <w:tr>
        <w:trPr>
          <w:trHeight w:val="56"/>
        </w:trPr>
        <w:tc>
          <w:tcPr>
            <w:tcW w:w="1200" w:type="dxa"/>
            <w:vAlign w:val="bottom"/>
          </w:tcPr>
          <w:p>
            <w:pPr>
              <w:spacing w:after="0"/>
              <w:rPr>
                <w:sz w:val="4"/>
                <w:szCs w:val="4"/>
                <w:color w:val="auto"/>
              </w:rPr>
            </w:pPr>
          </w:p>
        </w:tc>
        <w:tc>
          <w:tcPr>
            <w:tcW w:w="80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b w:val="1"/>
                <w:bCs w:val="1"/>
                <w:color w:val="auto"/>
              </w:rPr>
              <w:t>E. Liddy</w:t>
            </w:r>
          </w:p>
        </w:tc>
        <w:tc>
          <w:tcPr>
            <w:tcW w:w="8060" w:type="dxa"/>
            <w:vAlign w:val="bottom"/>
            <w:gridSpan w:val="3"/>
          </w:tcPr>
          <w:p>
            <w:pPr>
              <w:ind w:left="560"/>
              <w:spacing w:after="0"/>
              <w:rPr>
                <w:sz w:val="20"/>
                <w:szCs w:val="20"/>
                <w:color w:val="auto"/>
              </w:rPr>
            </w:pPr>
            <w:r>
              <w:rPr>
                <w:rFonts w:ascii="Arial" w:cs="Arial" w:eastAsia="Arial" w:hAnsi="Arial"/>
                <w:sz w:val="16"/>
                <w:szCs w:val="16"/>
                <w:color w:val="auto"/>
              </w:rPr>
              <w:t>healthcare compliance, social responsibility, and sustainability and environmental matters that affect or</w:t>
            </w:r>
          </w:p>
        </w:tc>
        <w:tc>
          <w:tcPr>
            <w:tcW w:w="0" w:type="dxa"/>
            <w:vAlign w:val="bottom"/>
          </w:tcPr>
          <w:p>
            <w:pPr>
              <w:spacing w:after="0"/>
              <w:rPr>
                <w:sz w:val="1"/>
                <w:szCs w:val="1"/>
                <w:color w:val="auto"/>
              </w:rPr>
            </w:pPr>
          </w:p>
        </w:tc>
      </w:tr>
      <w:tr>
        <w:trPr>
          <w:trHeight w:val="188"/>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M. Meyer</w:t>
            </w:r>
          </w:p>
        </w:tc>
        <w:tc>
          <w:tcPr>
            <w:tcW w:w="5400" w:type="dxa"/>
            <w:vAlign w:val="bottom"/>
          </w:tcPr>
          <w:p>
            <w:pPr>
              <w:ind w:left="560"/>
              <w:spacing w:after="0"/>
              <w:rPr>
                <w:sz w:val="20"/>
                <w:szCs w:val="20"/>
                <w:color w:val="auto"/>
              </w:rPr>
            </w:pPr>
            <w:r>
              <w:rPr>
                <w:rFonts w:ascii="Arial" w:cs="Arial" w:eastAsia="Arial" w:hAnsi="Arial"/>
                <w:sz w:val="16"/>
                <w:szCs w:val="16"/>
                <w:color w:val="auto"/>
              </w:rPr>
              <w:t>could affect AbbVie.</w:t>
            </w:r>
          </w:p>
        </w:tc>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200" w:type="dxa"/>
            <w:vAlign w:val="bottom"/>
            <w:vMerge w:val="continue"/>
          </w:tcPr>
          <w:p>
            <w:pPr>
              <w:spacing w:after="0"/>
              <w:rPr>
                <w:sz w:val="21"/>
                <w:szCs w:val="21"/>
                <w:color w:val="auto"/>
              </w:rPr>
            </w:pPr>
          </w:p>
        </w:tc>
        <w:tc>
          <w:tcPr>
            <w:tcW w:w="8060" w:type="dxa"/>
            <w:vAlign w:val="bottom"/>
            <w:gridSpan w:val="3"/>
          </w:tcPr>
          <w:p>
            <w:pPr>
              <w:ind w:left="32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Other topics within the committee’s purview include but are not limited to ethics and compliance matters,</w:t>
            </w: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b w:val="1"/>
                <w:bCs w:val="1"/>
                <w:color w:val="auto"/>
              </w:rPr>
              <w:t>R. Roberts</w:t>
            </w:r>
          </w:p>
        </w:tc>
        <w:tc>
          <w:tcPr>
            <w:tcW w:w="8060" w:type="dxa"/>
            <w:vAlign w:val="bottom"/>
            <w:gridSpan w:val="3"/>
          </w:tcPr>
          <w:p>
            <w:pPr>
              <w:ind w:left="560"/>
              <w:spacing w:after="0"/>
              <w:rPr>
                <w:sz w:val="20"/>
                <w:szCs w:val="20"/>
                <w:color w:val="auto"/>
              </w:rPr>
            </w:pPr>
            <w:r>
              <w:rPr>
                <w:rFonts w:ascii="Arial" w:cs="Arial" w:eastAsia="Arial" w:hAnsi="Arial"/>
                <w:sz w:val="16"/>
                <w:szCs w:val="16"/>
                <w:color w:val="auto"/>
              </w:rPr>
              <w:t>government and regulatory trends relevant to AbbVie’s business, political contributions, and corporate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5400" w:type="dxa"/>
            <w:vAlign w:val="bottom"/>
          </w:tcPr>
          <w:p>
            <w:pPr>
              <w:ind w:left="560"/>
              <w:spacing w:after="0" w:line="159" w:lineRule="exact"/>
              <w:rPr>
                <w:sz w:val="20"/>
                <w:szCs w:val="20"/>
                <w:color w:val="auto"/>
              </w:rPr>
            </w:pPr>
            <w:r>
              <w:rPr>
                <w:rFonts w:ascii="Arial" w:cs="Arial" w:eastAsia="Arial" w:hAnsi="Arial"/>
                <w:sz w:val="16"/>
                <w:szCs w:val="16"/>
                <w:color w:val="auto"/>
              </w:rPr>
              <w:t>philanthropy.</w:t>
            </w: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G. Tilton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71D49"/>
        </w:rPr>
        <w:t>Executive Committee</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executive committee members are Mr. Gonzalez, chair, Ms. Austin, Mr. Freyman, Mr. Hart, Mr. Liddy, Mr. Rapp, and Mr. Tilton. This committee may exercise all of the authority of the board in the management of AbbVie, except for matters expressly reserved by law for board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2"/>
          <w:szCs w:val="32"/>
          <w:color w:val="auto"/>
        </w:rPr>
        <w:t>COMMUNICATING WITH THE BOARD OF DIRECTORS</w:t>
      </w:r>
    </w:p>
    <w:p>
      <w:pPr>
        <w:spacing w:after="0" w:line="2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Stockholders and other interested parties may communicate with the board of directors by writing a letter to the chairman of the board, to the lead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874395" cy="16319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60"/>
          </w:cols>
          <w:pgMar w:left="1320" w:top="530" w:right="1419" w:bottom="1440" w:gutter="0" w:footer="0" w:header="0"/>
        </w:sectPr>
      </w:pPr>
    </w:p>
    <w:bookmarkStart w:id="29" w:name="page30"/>
    <w:bookmarkEnd w:id="29"/>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36"/>
          <w:szCs w:val="36"/>
          <w:color w:val="071D4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58807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42" w:lineRule="exact"/>
        <w:rPr>
          <w:sz w:val="20"/>
          <w:szCs w:val="20"/>
          <w:color w:val="auto"/>
        </w:rPr>
      </w:pPr>
    </w:p>
    <w:p>
      <w:pPr>
        <w:jc w:val="both"/>
        <w:ind w:left="1" w:right="280"/>
        <w:spacing w:after="0" w:line="237" w:lineRule="auto"/>
        <w:rPr>
          <w:sz w:val="20"/>
          <w:szCs w:val="20"/>
          <w:color w:val="auto"/>
        </w:rPr>
      </w:pPr>
      <w:r>
        <w:rPr>
          <w:rFonts w:ascii="Arial" w:cs="Arial" w:eastAsia="Arial" w:hAnsi="Arial"/>
          <w:sz w:val="18"/>
          <w:szCs w:val="18"/>
          <w:color w:val="auto"/>
        </w:rPr>
        <w:t>AbbVie employees are not compensated for serving on the board or board committees. AbbVie’s non -employee directors are compensated for their service under the AbbVie Non-Employee Directors’ Fee Plan and the AbbVie Amended and Restated 2013 Incentive Stock Program. As described in “Committees of the Board of Directors— 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table sets forth the non-employee directors’ 2021 compensation.</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Change in</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Pension Value</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and</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Nonqualified</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454968"/>
              </w:rPr>
              <w:t>Fees</w:t>
            </w: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454968"/>
              </w:rPr>
              <w:t>Restricted</w:t>
            </w:r>
          </w:p>
        </w:tc>
        <w:tc>
          <w:tcPr>
            <w:tcW w:w="1000" w:type="dxa"/>
            <w:vAlign w:val="bottom"/>
          </w:tcPr>
          <w:p>
            <w:pPr>
              <w:spacing w:after="0"/>
              <w:rPr>
                <w:sz w:val="14"/>
                <w:szCs w:val="14"/>
                <w:color w:val="auto"/>
              </w:rPr>
            </w:pP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Deferred</w:t>
            </w: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16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454968"/>
              </w:rPr>
              <w:t>Earned or</w:t>
            </w: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454968"/>
              </w:rPr>
              <w:t>Stock Unit</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454968"/>
              </w:rPr>
              <w:t>Option</w:t>
            </w: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Compensation</w:t>
            </w: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454968"/>
              </w:rPr>
              <w:t>All Other</w:t>
            </w:r>
          </w:p>
        </w:tc>
        <w:tc>
          <w:tcPr>
            <w:tcW w:w="92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16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454968"/>
              </w:rPr>
              <w:t>Paid in Cash</w:t>
            </w: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454968"/>
              </w:rPr>
              <w:t>Awards</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454968"/>
              </w:rPr>
              <w:t>Awards</w:t>
            </w:r>
          </w:p>
        </w:tc>
        <w:tc>
          <w:tcPr>
            <w:tcW w:w="1440" w:type="dxa"/>
            <w:vAlign w:val="bottom"/>
          </w:tcPr>
          <w:p>
            <w:pPr>
              <w:jc w:val="right"/>
              <w:ind w:right="178"/>
              <w:spacing w:after="0"/>
              <w:rPr>
                <w:sz w:val="20"/>
                <w:szCs w:val="20"/>
                <w:color w:val="auto"/>
              </w:rPr>
            </w:pPr>
            <w:r>
              <w:rPr>
                <w:rFonts w:ascii="Arial" w:cs="Arial" w:eastAsia="Arial" w:hAnsi="Arial"/>
                <w:sz w:val="14"/>
                <w:szCs w:val="14"/>
                <w:b w:val="1"/>
                <w:bCs w:val="1"/>
                <w:color w:val="454968"/>
              </w:rPr>
              <w:t>Earnings</w:t>
            </w: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454968"/>
              </w:rPr>
              <w:t>Compensation</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54968"/>
              </w:rPr>
              <w:t>Total</w:t>
            </w:r>
          </w:p>
        </w:tc>
      </w:tr>
      <w:tr>
        <w:trPr>
          <w:trHeight w:val="175"/>
        </w:trPr>
        <w:tc>
          <w:tcPr>
            <w:tcW w:w="1540" w:type="dxa"/>
            <w:vAlign w:val="bottom"/>
            <w:tcBorders>
              <w:bottom w:val="single" w:sz="8" w:color="071D49"/>
            </w:tcBorders>
          </w:tcPr>
          <w:p>
            <w:pPr>
              <w:spacing w:after="0"/>
              <w:rPr>
                <w:sz w:val="20"/>
                <w:szCs w:val="20"/>
                <w:color w:val="auto"/>
              </w:rPr>
            </w:pPr>
            <w:r>
              <w:rPr>
                <w:rFonts w:ascii="Arial" w:cs="Arial" w:eastAsia="Arial" w:hAnsi="Arial"/>
                <w:sz w:val="14"/>
                <w:szCs w:val="14"/>
                <w:b w:val="1"/>
                <w:bCs w:val="1"/>
                <w:color w:val="454968"/>
              </w:rPr>
              <w:t>Name</w:t>
            </w:r>
          </w:p>
        </w:tc>
        <w:tc>
          <w:tcPr>
            <w:tcW w:w="1660" w:type="dxa"/>
            <w:vAlign w:val="bottom"/>
            <w:tcBorders>
              <w:bottom w:val="single" w:sz="8" w:color="071D49"/>
            </w:tcBorders>
            <w:gridSpan w:val="2"/>
          </w:tcPr>
          <w:p>
            <w:pPr>
              <w:jc w:val="right"/>
              <w:ind w:right="108"/>
              <w:spacing w:after="0"/>
              <w:rPr>
                <w:sz w:val="20"/>
                <w:szCs w:val="20"/>
                <w:color w:val="auto"/>
              </w:rPr>
            </w:pPr>
            <w:r>
              <w:rPr>
                <w:rFonts w:ascii="Arial" w:cs="Arial" w:eastAsia="Arial" w:hAnsi="Arial"/>
                <w:sz w:val="14"/>
                <w:szCs w:val="14"/>
                <w:b w:val="1"/>
                <w:bCs w:val="1"/>
                <w:color w:val="454968"/>
              </w:rPr>
              <w:t>($)(1)</w:t>
            </w:r>
          </w:p>
        </w:tc>
        <w:tc>
          <w:tcPr>
            <w:tcW w:w="1220" w:type="dxa"/>
            <w:vAlign w:val="bottom"/>
            <w:tcBorders>
              <w:bottom w:val="single" w:sz="8" w:color="071D49"/>
            </w:tcBorders>
          </w:tcPr>
          <w:p>
            <w:pPr>
              <w:jc w:val="right"/>
              <w:ind w:right="175"/>
              <w:spacing w:after="0"/>
              <w:rPr>
                <w:sz w:val="20"/>
                <w:szCs w:val="20"/>
                <w:color w:val="auto"/>
              </w:rPr>
            </w:pPr>
            <w:r>
              <w:rPr>
                <w:rFonts w:ascii="Arial" w:cs="Arial" w:eastAsia="Arial" w:hAnsi="Arial"/>
                <w:sz w:val="14"/>
                <w:szCs w:val="14"/>
                <w:b w:val="1"/>
                <w:bCs w:val="1"/>
                <w:color w:val="454968"/>
              </w:rPr>
              <w:t>($)(2)</w:t>
            </w:r>
          </w:p>
        </w:tc>
        <w:tc>
          <w:tcPr>
            <w:tcW w:w="1000" w:type="dxa"/>
            <w:vAlign w:val="bottom"/>
            <w:tcBorders>
              <w:bottom w:val="single" w:sz="8" w:color="071D49"/>
            </w:tcBorders>
          </w:tcPr>
          <w:p>
            <w:pPr>
              <w:jc w:val="right"/>
              <w:ind w:right="94"/>
              <w:spacing w:after="0"/>
              <w:rPr>
                <w:sz w:val="20"/>
                <w:szCs w:val="20"/>
                <w:color w:val="auto"/>
              </w:rPr>
            </w:pPr>
            <w:r>
              <w:rPr>
                <w:rFonts w:ascii="Arial" w:cs="Arial" w:eastAsia="Arial" w:hAnsi="Arial"/>
                <w:sz w:val="14"/>
                <w:szCs w:val="14"/>
                <w:b w:val="1"/>
                <w:bCs w:val="1"/>
                <w:color w:val="454968"/>
              </w:rPr>
              <w:t>($)(3)</w:t>
            </w:r>
          </w:p>
        </w:tc>
        <w:tc>
          <w:tcPr>
            <w:tcW w:w="1440" w:type="dxa"/>
            <w:vAlign w:val="bottom"/>
            <w:tcBorders>
              <w:bottom w:val="single" w:sz="8" w:color="071D49"/>
            </w:tcBorders>
          </w:tcPr>
          <w:p>
            <w:pPr>
              <w:jc w:val="right"/>
              <w:ind w:right="118"/>
              <w:spacing w:after="0"/>
              <w:rPr>
                <w:sz w:val="20"/>
                <w:szCs w:val="20"/>
                <w:color w:val="auto"/>
              </w:rPr>
            </w:pPr>
            <w:r>
              <w:rPr>
                <w:rFonts w:ascii="Arial" w:cs="Arial" w:eastAsia="Arial" w:hAnsi="Arial"/>
                <w:sz w:val="14"/>
                <w:szCs w:val="14"/>
                <w:b w:val="1"/>
                <w:bCs w:val="1"/>
                <w:color w:val="454968"/>
              </w:rPr>
              <w:t>($)(4)</w:t>
            </w:r>
          </w:p>
        </w:tc>
        <w:tc>
          <w:tcPr>
            <w:tcW w:w="1480" w:type="dxa"/>
            <w:vAlign w:val="bottom"/>
            <w:tcBorders>
              <w:bottom w:val="single" w:sz="8" w:color="071D49"/>
            </w:tcBorders>
          </w:tcPr>
          <w:p>
            <w:pPr>
              <w:jc w:val="right"/>
              <w:ind w:right="134"/>
              <w:spacing w:after="0"/>
              <w:rPr>
                <w:sz w:val="20"/>
                <w:szCs w:val="20"/>
                <w:color w:val="auto"/>
              </w:rPr>
            </w:pPr>
            <w:r>
              <w:rPr>
                <w:rFonts w:ascii="Arial" w:cs="Arial" w:eastAsia="Arial" w:hAnsi="Arial"/>
                <w:sz w:val="14"/>
                <w:szCs w:val="14"/>
                <w:b w:val="1"/>
                <w:bCs w:val="1"/>
                <w:color w:val="454968"/>
              </w:rPr>
              <w:t>($)(5)</w:t>
            </w:r>
          </w:p>
        </w:tc>
        <w:tc>
          <w:tcPr>
            <w:tcW w:w="920" w:type="dxa"/>
            <w:vAlign w:val="bottom"/>
            <w:tcBorders>
              <w:bottom w:val="single" w:sz="8" w:color="071D49"/>
            </w:tcBorders>
          </w:tcPr>
          <w:p>
            <w:pPr>
              <w:jc w:val="right"/>
              <w:spacing w:after="0"/>
              <w:rPr>
                <w:sz w:val="20"/>
                <w:szCs w:val="20"/>
                <w:color w:val="auto"/>
              </w:rPr>
            </w:pPr>
            <w:r>
              <w:rPr>
                <w:rFonts w:ascii="Arial" w:cs="Arial" w:eastAsia="Arial" w:hAnsi="Arial"/>
                <w:sz w:val="14"/>
                <w:szCs w:val="14"/>
                <w:b w:val="1"/>
                <w:bCs w:val="1"/>
                <w:color w:val="454968"/>
              </w:rPr>
              <w:t>($)</w:t>
            </w:r>
          </w:p>
        </w:tc>
      </w:tr>
      <w:tr>
        <w:trPr>
          <w:trHeight w:val="196"/>
        </w:trPr>
        <w:tc>
          <w:tcPr>
            <w:tcW w:w="154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 Alpern</w:t>
            </w:r>
          </w:p>
        </w:tc>
        <w:tc>
          <w:tcPr>
            <w:tcW w:w="1660" w:type="dxa"/>
            <w:vAlign w:val="bottom"/>
            <w:gridSpan w:val="2"/>
            <w:shd w:val="clear" w:color="auto" w:fill="D9D9D9"/>
          </w:tcPr>
          <w:p>
            <w:pPr>
              <w:jc w:val="right"/>
              <w:ind w:right="168"/>
              <w:spacing w:after="0" w:line="196" w:lineRule="exact"/>
              <w:rPr>
                <w:sz w:val="20"/>
                <w:szCs w:val="20"/>
                <w:color w:val="auto"/>
              </w:rPr>
            </w:pPr>
            <w:r>
              <w:rPr>
                <w:rFonts w:ascii="Arial" w:cs="Arial" w:eastAsia="Arial" w:hAnsi="Arial"/>
                <w:sz w:val="18"/>
                <w:szCs w:val="18"/>
                <w:color w:val="auto"/>
              </w:rPr>
              <w:t>115,000</w:t>
            </w:r>
          </w:p>
        </w:tc>
        <w:tc>
          <w:tcPr>
            <w:tcW w:w="1220" w:type="dxa"/>
            <w:vAlign w:val="bottom"/>
            <w:shd w:val="clear" w:color="auto" w:fill="D9D9D9"/>
          </w:tcPr>
          <w:p>
            <w:pPr>
              <w:jc w:val="right"/>
              <w:ind w:right="235"/>
              <w:spacing w:after="0" w:line="196"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196"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196" w:lineRule="exact"/>
              <w:rPr>
                <w:sz w:val="20"/>
                <w:szCs w:val="20"/>
                <w:color w:val="auto"/>
              </w:rPr>
            </w:pPr>
            <w:r>
              <w:rPr>
                <w:rFonts w:ascii="Arial" w:cs="Arial" w:eastAsia="Arial" w:hAnsi="Arial"/>
                <w:sz w:val="18"/>
                <w:szCs w:val="18"/>
                <w:color w:val="auto"/>
              </w:rPr>
              <w:t>36,085</w:t>
            </w:r>
          </w:p>
        </w:tc>
        <w:tc>
          <w:tcPr>
            <w:tcW w:w="1480" w:type="dxa"/>
            <w:vAlign w:val="bottom"/>
            <w:shd w:val="clear" w:color="auto" w:fill="D9D9D9"/>
          </w:tcPr>
          <w:p>
            <w:pPr>
              <w:jc w:val="right"/>
              <w:ind w:right="174"/>
              <w:spacing w:after="0" w:line="196"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370,989</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R. Austin</w:t>
            </w:r>
          </w:p>
        </w:tc>
        <w:tc>
          <w:tcPr>
            <w:tcW w:w="1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140,583</w:t>
            </w:r>
          </w:p>
        </w:tc>
        <w:tc>
          <w:tcPr>
            <w:tcW w:w="12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360,487</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W. Burnside</w:t>
            </w:r>
          </w:p>
        </w:tc>
        <w:tc>
          <w:tcPr>
            <w:tcW w:w="1660" w:type="dxa"/>
            <w:vAlign w:val="bottom"/>
            <w:gridSpan w:val="2"/>
            <w:shd w:val="clear" w:color="auto" w:fill="D9D9D9"/>
          </w:tcPr>
          <w:p>
            <w:pPr>
              <w:jc w:val="right"/>
              <w:ind w:right="168"/>
              <w:spacing w:after="0" w:line="202" w:lineRule="exact"/>
              <w:rPr>
                <w:sz w:val="20"/>
                <w:szCs w:val="20"/>
                <w:color w:val="auto"/>
              </w:rPr>
            </w:pPr>
            <w:r>
              <w:rPr>
                <w:rFonts w:ascii="Arial" w:cs="Arial" w:eastAsia="Arial" w:hAnsi="Arial"/>
                <w:sz w:val="18"/>
                <w:szCs w:val="18"/>
                <w:color w:val="auto"/>
              </w:rPr>
              <w:t>121,000</w:t>
            </w:r>
          </w:p>
        </w:tc>
        <w:tc>
          <w:tcPr>
            <w:tcW w:w="1220" w:type="dxa"/>
            <w:vAlign w:val="bottom"/>
            <w:shd w:val="clear" w:color="auto" w:fill="D9D9D9"/>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340,904</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T. Freyman</w:t>
            </w:r>
          </w:p>
        </w:tc>
        <w:tc>
          <w:tcPr>
            <w:tcW w:w="1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129,583</w:t>
            </w:r>
          </w:p>
        </w:tc>
        <w:tc>
          <w:tcPr>
            <w:tcW w:w="12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349,487</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B. Hart</w:t>
            </w:r>
          </w:p>
        </w:tc>
        <w:tc>
          <w:tcPr>
            <w:tcW w:w="1660" w:type="dxa"/>
            <w:vAlign w:val="bottom"/>
            <w:gridSpan w:val="2"/>
            <w:shd w:val="clear" w:color="auto" w:fill="D9D9D9"/>
          </w:tcPr>
          <w:p>
            <w:pPr>
              <w:jc w:val="right"/>
              <w:ind w:right="168"/>
              <w:spacing w:after="0" w:line="202" w:lineRule="exact"/>
              <w:rPr>
                <w:sz w:val="20"/>
                <w:szCs w:val="20"/>
                <w:color w:val="auto"/>
              </w:rPr>
            </w:pPr>
            <w:r>
              <w:rPr>
                <w:rFonts w:ascii="Arial" w:cs="Arial" w:eastAsia="Arial" w:hAnsi="Arial"/>
                <w:sz w:val="18"/>
                <w:szCs w:val="18"/>
                <w:color w:val="auto"/>
              </w:rPr>
              <w:t>135,000</w:t>
            </w:r>
          </w:p>
        </w:tc>
        <w:tc>
          <w:tcPr>
            <w:tcW w:w="1220" w:type="dxa"/>
            <w:vAlign w:val="bottom"/>
            <w:shd w:val="clear" w:color="auto" w:fill="D9D9D9"/>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354,904</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E. Liddy</w:t>
            </w:r>
          </w:p>
        </w:tc>
        <w:tc>
          <w:tcPr>
            <w:tcW w:w="1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123,333</w:t>
            </w:r>
          </w:p>
        </w:tc>
        <w:tc>
          <w:tcPr>
            <w:tcW w:w="12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318,237</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 Meyer</w:t>
            </w:r>
          </w:p>
        </w:tc>
        <w:tc>
          <w:tcPr>
            <w:tcW w:w="1660" w:type="dxa"/>
            <w:vAlign w:val="bottom"/>
            <w:gridSpan w:val="2"/>
            <w:shd w:val="clear" w:color="auto" w:fill="D9D9D9"/>
          </w:tcPr>
          <w:p>
            <w:pPr>
              <w:jc w:val="right"/>
              <w:ind w:right="168"/>
              <w:spacing w:after="0" w:line="202" w:lineRule="exact"/>
              <w:rPr>
                <w:sz w:val="20"/>
                <w:szCs w:val="20"/>
                <w:color w:val="auto"/>
              </w:rPr>
            </w:pPr>
            <w:r>
              <w:rPr>
                <w:rFonts w:ascii="Arial" w:cs="Arial" w:eastAsia="Arial" w:hAnsi="Arial"/>
                <w:sz w:val="18"/>
                <w:szCs w:val="18"/>
                <w:color w:val="auto"/>
              </w:rPr>
              <w:t>121,000</w:t>
            </w:r>
          </w:p>
        </w:tc>
        <w:tc>
          <w:tcPr>
            <w:tcW w:w="1220" w:type="dxa"/>
            <w:vAlign w:val="bottom"/>
            <w:shd w:val="clear" w:color="auto" w:fill="D9D9D9"/>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340,904</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E. Rapp</w:t>
            </w:r>
          </w:p>
        </w:tc>
        <w:tc>
          <w:tcPr>
            <w:tcW w:w="1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141,000</w:t>
            </w:r>
          </w:p>
        </w:tc>
        <w:tc>
          <w:tcPr>
            <w:tcW w:w="12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360,904</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R. Roberts</w:t>
            </w:r>
          </w:p>
        </w:tc>
        <w:tc>
          <w:tcPr>
            <w:tcW w:w="1660" w:type="dxa"/>
            <w:vAlign w:val="bottom"/>
            <w:gridSpan w:val="2"/>
            <w:shd w:val="clear" w:color="auto" w:fill="D9D9D9"/>
          </w:tcPr>
          <w:p>
            <w:pPr>
              <w:jc w:val="right"/>
              <w:ind w:right="168"/>
              <w:spacing w:after="0" w:line="202" w:lineRule="exact"/>
              <w:rPr>
                <w:sz w:val="20"/>
                <w:szCs w:val="20"/>
                <w:color w:val="auto"/>
              </w:rPr>
            </w:pPr>
            <w:r>
              <w:rPr>
                <w:rFonts w:ascii="Arial" w:cs="Arial" w:eastAsia="Arial" w:hAnsi="Arial"/>
                <w:sz w:val="18"/>
                <w:szCs w:val="18"/>
                <w:color w:val="auto"/>
              </w:rPr>
              <w:t>115,000</w:t>
            </w:r>
          </w:p>
        </w:tc>
        <w:tc>
          <w:tcPr>
            <w:tcW w:w="1220" w:type="dxa"/>
            <w:vAlign w:val="bottom"/>
            <w:shd w:val="clear" w:color="auto" w:fill="D9D9D9"/>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334,904</w:t>
            </w:r>
          </w:p>
        </w:tc>
      </w:tr>
      <w:tr>
        <w:trPr>
          <w:trHeight w:val="203"/>
        </w:trPr>
        <w:tc>
          <w:tcPr>
            <w:tcW w:w="1540" w:type="dxa"/>
            <w:vAlign w:val="bottom"/>
          </w:tcPr>
          <w:p>
            <w:pPr>
              <w:spacing w:after="0" w:line="202" w:lineRule="exact"/>
              <w:rPr>
                <w:sz w:val="20"/>
                <w:szCs w:val="20"/>
                <w:color w:val="auto"/>
              </w:rPr>
            </w:pPr>
            <w:r>
              <w:rPr>
                <w:rFonts w:ascii="Arial" w:cs="Arial" w:eastAsia="Arial" w:hAnsi="Arial"/>
                <w:sz w:val="18"/>
                <w:szCs w:val="18"/>
                <w:color w:val="auto"/>
              </w:rPr>
              <w:t>G. Tilton</w:t>
            </w:r>
          </w:p>
        </w:tc>
        <w:tc>
          <w:tcPr>
            <w:tcW w:w="16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171,000</w:t>
            </w:r>
          </w:p>
        </w:tc>
        <w:tc>
          <w:tcPr>
            <w:tcW w:w="122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26,151</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392,055</w:t>
            </w:r>
          </w:p>
        </w:tc>
      </w:tr>
      <w:tr>
        <w:trPr>
          <w:trHeight w:val="203"/>
        </w:trPr>
        <w:tc>
          <w:tcPr>
            <w:tcW w:w="15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F. Waddell</w:t>
            </w:r>
          </w:p>
        </w:tc>
        <w:tc>
          <w:tcPr>
            <w:tcW w:w="1660" w:type="dxa"/>
            <w:vAlign w:val="bottom"/>
            <w:gridSpan w:val="2"/>
            <w:shd w:val="clear" w:color="auto" w:fill="D9D9D9"/>
          </w:tcPr>
          <w:p>
            <w:pPr>
              <w:jc w:val="right"/>
              <w:ind w:right="168"/>
              <w:spacing w:after="0" w:line="202" w:lineRule="exact"/>
              <w:rPr>
                <w:sz w:val="20"/>
                <w:szCs w:val="20"/>
                <w:color w:val="auto"/>
              </w:rPr>
            </w:pPr>
            <w:r>
              <w:rPr>
                <w:rFonts w:ascii="Arial" w:cs="Arial" w:eastAsia="Arial" w:hAnsi="Arial"/>
                <w:sz w:val="18"/>
                <w:szCs w:val="18"/>
                <w:color w:val="auto"/>
              </w:rPr>
              <w:t>121,000</w:t>
            </w:r>
          </w:p>
        </w:tc>
        <w:tc>
          <w:tcPr>
            <w:tcW w:w="1220" w:type="dxa"/>
            <w:vAlign w:val="bottom"/>
            <w:shd w:val="clear" w:color="auto" w:fill="D9D9D9"/>
          </w:tcPr>
          <w:p>
            <w:pPr>
              <w:jc w:val="right"/>
              <w:ind w:right="235"/>
              <w:spacing w:after="0" w:line="202" w:lineRule="exact"/>
              <w:rPr>
                <w:sz w:val="20"/>
                <w:szCs w:val="20"/>
                <w:color w:val="auto"/>
              </w:rPr>
            </w:pPr>
            <w:r>
              <w:rPr>
                <w:rFonts w:ascii="Arial" w:cs="Arial" w:eastAsia="Arial" w:hAnsi="Arial"/>
                <w:sz w:val="18"/>
                <w:szCs w:val="18"/>
                <w:color w:val="auto"/>
              </w:rPr>
              <w:t>194,904</w:t>
            </w:r>
          </w:p>
        </w:tc>
        <w:tc>
          <w:tcPr>
            <w:tcW w:w="1000" w:type="dxa"/>
            <w:vAlign w:val="bottom"/>
            <w:shd w:val="clear" w:color="auto" w:fill="D9D9D9"/>
          </w:tcPr>
          <w:p>
            <w:pPr>
              <w:jc w:val="right"/>
              <w:ind w:right="154"/>
              <w:spacing w:after="0" w:line="202" w:lineRule="exact"/>
              <w:rPr>
                <w:sz w:val="20"/>
                <w:szCs w:val="20"/>
                <w:color w:val="auto"/>
              </w:rPr>
            </w:pPr>
            <w:r>
              <w:rPr>
                <w:rFonts w:ascii="Arial" w:cs="Arial" w:eastAsia="Arial" w:hAnsi="Arial"/>
                <w:sz w:val="18"/>
                <w:szCs w:val="18"/>
                <w:color w:val="auto"/>
              </w:rPr>
              <w:t>0</w:t>
            </w:r>
          </w:p>
        </w:tc>
        <w:tc>
          <w:tcPr>
            <w:tcW w:w="1440" w:type="dxa"/>
            <w:vAlign w:val="bottom"/>
            <w:shd w:val="clear" w:color="auto" w:fill="D9D9D9"/>
          </w:tcPr>
          <w:p>
            <w:pPr>
              <w:jc w:val="right"/>
              <w:ind w:right="178"/>
              <w:spacing w:after="0" w:line="202" w:lineRule="exact"/>
              <w:rPr>
                <w:sz w:val="20"/>
                <w:szCs w:val="20"/>
                <w:color w:val="auto"/>
              </w:rPr>
            </w:pPr>
            <w:r>
              <w:rPr>
                <w:rFonts w:ascii="Arial" w:cs="Arial" w:eastAsia="Arial" w:hAnsi="Arial"/>
                <w:sz w:val="18"/>
                <w:szCs w:val="18"/>
                <w:color w:val="auto"/>
              </w:rPr>
              <w:t>0</w:t>
            </w:r>
          </w:p>
        </w:tc>
        <w:tc>
          <w:tcPr>
            <w:tcW w:w="1480" w:type="dxa"/>
            <w:vAlign w:val="bottom"/>
            <w:shd w:val="clear" w:color="auto" w:fill="D9D9D9"/>
          </w:tcPr>
          <w:p>
            <w:pPr>
              <w:jc w:val="right"/>
              <w:ind w:right="174"/>
              <w:spacing w:after="0" w:line="202" w:lineRule="exact"/>
              <w:rPr>
                <w:sz w:val="20"/>
                <w:szCs w:val="20"/>
                <w:color w:val="auto"/>
              </w:rPr>
            </w:pPr>
            <w:r>
              <w:rPr>
                <w:rFonts w:ascii="Arial" w:cs="Arial" w:eastAsia="Arial" w:hAnsi="Arial"/>
                <w:sz w:val="18"/>
                <w:szCs w:val="18"/>
                <w:color w:val="auto"/>
              </w:rPr>
              <w:t>25,000</w:t>
            </w:r>
          </w:p>
        </w:tc>
        <w:tc>
          <w:tcPr>
            <w:tcW w:w="9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340,904</w:t>
            </w:r>
          </w:p>
        </w:tc>
      </w:tr>
      <w:tr>
        <w:trPr>
          <w:trHeight w:val="108"/>
        </w:trPr>
        <w:tc>
          <w:tcPr>
            <w:tcW w:w="1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80" w:lineRule="exact"/>
        <w:rPr>
          <w:sz w:val="20"/>
          <w:szCs w:val="20"/>
          <w:color w:val="auto"/>
        </w:rPr>
      </w:pPr>
    </w:p>
    <w:p>
      <w:pPr>
        <w:ind w:left="321" w:right="20" w:hanging="321"/>
        <w:spacing w:after="0" w:line="237"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Non-Employee Directors’ Fee Plan as in effect during 2021, non-employee directors earned $115,000 per year for service as a director and $20,000 per year for service as a chair of a board committee, other than the chair of the audit committee. The chair of the audit committee received $25,000 per year for service as chair of that committee and the other members of the audit committee received $500 for each month of service as a committee member. The lead director received $50,000 in 2021 for service in that role. The non-employee director and committee fees are earned monthly for each calendar month or portion thereof that the director holds the position, excluding the month in which the director is first elected to the position.</w:t>
      </w:r>
    </w:p>
    <w:p>
      <w:pPr>
        <w:spacing w:after="0" w:line="135" w:lineRule="exact"/>
        <w:rPr>
          <w:rFonts w:ascii="Arial" w:cs="Arial" w:eastAsia="Arial" w:hAnsi="Arial"/>
          <w:sz w:val="18"/>
          <w:szCs w:val="18"/>
          <w:color w:val="auto"/>
        </w:rPr>
      </w:pPr>
    </w:p>
    <w:p>
      <w:pPr>
        <w:ind w:left="321" w:right="20"/>
        <w:spacing w:after="0" w:line="236" w:lineRule="auto"/>
        <w:rPr>
          <w:rFonts w:ascii="Arial" w:cs="Arial" w:eastAsia="Arial" w:hAnsi="Arial"/>
          <w:sz w:val="18"/>
          <w:szCs w:val="18"/>
          <w:color w:val="auto"/>
        </w:rPr>
      </w:pPr>
      <w:r>
        <w:rPr>
          <w:rFonts w:ascii="Arial" w:cs="Arial" w:eastAsia="Arial" w:hAnsi="Arial"/>
          <w:sz w:val="18"/>
          <w:szCs w:val="18"/>
          <w:color w:val="auto"/>
        </w:rPr>
        <w:t>Fees earned under the AbbVie Non-Employee Directors’ Fee Plan are, at the director’s election, paid in cash, delivered in the form of vested non-qualified stock options (based on an independent appraisal of their fair value), deferred until retirement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139" w:lineRule="exact"/>
        <w:rPr>
          <w:rFonts w:ascii="Arial" w:cs="Arial" w:eastAsia="Arial" w:hAnsi="Arial"/>
          <w:sz w:val="18"/>
          <w:szCs w:val="18"/>
          <w:color w:val="auto"/>
        </w:rPr>
      </w:pPr>
    </w:p>
    <w:p>
      <w:pPr>
        <w:ind w:left="321" w:right="20" w:hanging="321"/>
        <w:spacing w:after="0" w:line="238"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the restricted stock unit awards granted during 2021, determined in accordance with Financial Accounting Standards Board (FASB) Accounting Standards Codification (ASC) Topic 718. AbbVie determines the grant date fair value of the awards by multiplying the number of units granted by the average of the high and low market prices of one share of AbbVie common stock on the award grant date.</w:t>
      </w:r>
    </w:p>
    <w:p>
      <w:pPr>
        <w:spacing w:after="0" w:line="121" w:lineRule="exact"/>
        <w:rPr>
          <w:rFonts w:ascii="Arial" w:cs="Arial" w:eastAsia="Arial" w:hAnsi="Arial"/>
          <w:sz w:val="18"/>
          <w:szCs w:val="18"/>
          <w:color w:val="auto"/>
        </w:rPr>
      </w:pPr>
    </w:p>
    <w:p>
      <w:pPr>
        <w:ind w:left="321" w:right="160"/>
        <w:spacing w:after="0" w:line="246" w:lineRule="auto"/>
        <w:rPr>
          <w:rFonts w:ascii="Arial" w:cs="Arial" w:eastAsia="Arial" w:hAnsi="Arial"/>
          <w:sz w:val="18"/>
          <w:szCs w:val="18"/>
          <w:color w:val="auto"/>
        </w:rPr>
      </w:pPr>
      <w:r>
        <w:rPr>
          <w:rFonts w:ascii="Arial" w:cs="Arial" w:eastAsia="Arial" w:hAnsi="Arial"/>
          <w:sz w:val="18"/>
          <w:szCs w:val="18"/>
          <w:color w:val="auto"/>
        </w:rPr>
        <w:t>In addition to the fees described in footnote (1), each non-employee director elected to or serving on the board of directors on the day of the 2021 annual stockholder meeting received under the AbbVie Amended</w:t>
      </w:r>
    </w:p>
    <w:p>
      <w:pPr>
        <w:spacing w:after="0" w:line="200" w:lineRule="exact"/>
        <w:rPr>
          <w:sz w:val="20"/>
          <w:szCs w:val="20"/>
          <w:color w:val="auto"/>
        </w:rPr>
      </w:pP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30" w:name="page31"/>
    <w:bookmarkEnd w:id="30"/>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DIRECTOR COMPENSATION</w:t>
      </w:r>
    </w:p>
    <w:p>
      <w:pPr>
        <w:spacing w:after="0" w:line="194" w:lineRule="exact"/>
        <w:rPr>
          <w:sz w:val="20"/>
          <w:szCs w:val="20"/>
          <w:color w:val="auto"/>
        </w:rPr>
      </w:pPr>
    </w:p>
    <w:p>
      <w:pPr>
        <w:ind w:left="321"/>
        <w:spacing w:after="0"/>
        <w:rPr>
          <w:sz w:val="20"/>
          <w:szCs w:val="20"/>
          <w:color w:val="auto"/>
        </w:rPr>
      </w:pPr>
      <w:r>
        <w:rPr>
          <w:rFonts w:ascii="Arial" w:cs="Arial" w:eastAsia="Arial" w:hAnsi="Arial"/>
          <w:sz w:val="18"/>
          <w:szCs w:val="18"/>
          <w:color w:val="auto"/>
        </w:rPr>
        <w:t>and Restated 2013 Incentive Stock Program vested restricted stock units with a target grant date value of</w:t>
      </w:r>
    </w:p>
    <w:p>
      <w:pPr>
        <w:ind w:left="321" w:right="40"/>
        <w:spacing w:after="0" w:line="237" w:lineRule="auto"/>
        <w:rPr>
          <w:sz w:val="20"/>
          <w:szCs w:val="20"/>
          <w:color w:val="auto"/>
        </w:rPr>
      </w:pPr>
      <w:r>
        <w:rPr>
          <w:rFonts w:ascii="Arial" w:cs="Arial" w:eastAsia="Arial" w:hAnsi="Arial"/>
          <w:sz w:val="18"/>
          <w:szCs w:val="18"/>
          <w:color w:val="auto"/>
        </w:rPr>
        <w:t>$195,000. In 2021, this equated to 1,681 restricted stock units (after rounding the award down to the nearest whole unit), with a reportable value of $194,904.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 under the Incentive Stock Program.</w:t>
      </w:r>
    </w:p>
    <w:p>
      <w:pPr>
        <w:spacing w:after="0" w:line="119"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AbbVie restricted stock units were outstanding as of December 31, 2021: R. Alpern, 30,121;</w:t>
      </w:r>
    </w:p>
    <w:p>
      <w:pPr>
        <w:ind w:left="321" w:right="40"/>
        <w:spacing w:after="0" w:line="238" w:lineRule="auto"/>
        <w:rPr>
          <w:sz w:val="20"/>
          <w:szCs w:val="20"/>
          <w:color w:val="auto"/>
        </w:rPr>
      </w:pPr>
      <w:r>
        <w:rPr>
          <w:rFonts w:ascii="Arial" w:cs="Arial" w:eastAsia="Arial" w:hAnsi="Arial"/>
          <w:sz w:val="18"/>
          <w:szCs w:val="18"/>
          <w:color w:val="auto"/>
        </w:rPr>
        <w:t>R. Austin, 37,784; W. Burnside, 21,562; T. Freyman, 4,014; B. Hart, 14,076; E. Liddy, 21,562; M. Meyer, 11,102; E. Rapp, 21,562; R. Roberts, 8,332; G. Tilton, 33,768; and F. Waddell, 21,562. These numbers include, where applicable, AbbVie restricted stock units issued with respect to Abbott Laboratories restricted stock units outstanding when AbbVie separated from Abbott on January 1, 2013.</w:t>
      </w:r>
    </w:p>
    <w:p>
      <w:pPr>
        <w:spacing w:after="0" w:line="137" w:lineRule="exact"/>
        <w:rPr>
          <w:sz w:val="20"/>
          <w:szCs w:val="20"/>
          <w:color w:val="auto"/>
        </w:rPr>
      </w:pPr>
    </w:p>
    <w:p>
      <w:pPr>
        <w:ind w:left="321" w:hanging="321"/>
        <w:spacing w:after="0"/>
        <w:tabs>
          <w:tab w:leader="none" w:pos="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AbbVie stock options were outstanding as of December 31, 2021.</w:t>
      </w:r>
    </w:p>
    <w:p>
      <w:pPr>
        <w:spacing w:after="0" w:line="144" w:lineRule="exact"/>
        <w:rPr>
          <w:rFonts w:ascii="Arial" w:cs="Arial" w:eastAsia="Arial" w:hAnsi="Arial"/>
          <w:sz w:val="18"/>
          <w:szCs w:val="18"/>
          <w:color w:val="auto"/>
        </w:rPr>
      </w:pPr>
    </w:p>
    <w:p>
      <w:pPr>
        <w:ind w:left="321" w:right="320" w:hanging="321"/>
        <w:spacing w:after="0" w:line="246" w:lineRule="auto"/>
        <w:tabs>
          <w:tab w:leader="none" w:pos="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totals in this column include reportable interest credited under the AbbVie Non-Employee Directors’ Fee Plan during 2021.</w:t>
      </w:r>
    </w:p>
    <w:p>
      <w:pPr>
        <w:spacing w:after="0" w:line="115" w:lineRule="exact"/>
        <w:rPr>
          <w:rFonts w:ascii="Arial" w:cs="Arial" w:eastAsia="Arial" w:hAnsi="Arial"/>
          <w:sz w:val="18"/>
          <w:szCs w:val="18"/>
          <w:color w:val="auto"/>
        </w:rPr>
      </w:pPr>
    </w:p>
    <w:p>
      <w:pPr>
        <w:ind w:left="321" w:hanging="321"/>
        <w:spacing w:after="0" w:line="234" w:lineRule="auto"/>
        <w:tabs>
          <w:tab w:leader="none" w:pos="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Charitable contributions made by AbbVie’s non-employee directors are eligible for a matching contribution (up to $25,000 annually). For 2021 contributions, the AbbVie Foundation made charitable matching contributions on behalf of the following AbbVie directors: R. Alpern, $25,000; R. Austin, $25,000; W. Burnside, $25,000;</w:t>
      </w:r>
    </w:p>
    <w:p>
      <w:pPr>
        <w:spacing w:after="0" w:line="2" w:lineRule="exact"/>
        <w:rPr>
          <w:rFonts w:ascii="Arial" w:cs="Arial" w:eastAsia="Arial" w:hAnsi="Arial"/>
          <w:sz w:val="18"/>
          <w:szCs w:val="18"/>
          <w:color w:val="auto"/>
        </w:rPr>
      </w:pPr>
    </w:p>
    <w:p>
      <w:pPr>
        <w:ind w:left="321"/>
        <w:spacing w:after="0" w:line="234" w:lineRule="auto"/>
        <w:rPr>
          <w:rFonts w:ascii="Arial" w:cs="Arial" w:eastAsia="Arial" w:hAnsi="Arial"/>
          <w:sz w:val="18"/>
          <w:szCs w:val="18"/>
          <w:color w:val="auto"/>
        </w:rPr>
      </w:pPr>
      <w:r>
        <w:rPr>
          <w:rFonts w:ascii="Arial" w:cs="Arial" w:eastAsia="Arial" w:hAnsi="Arial"/>
          <w:sz w:val="18"/>
          <w:szCs w:val="18"/>
          <w:color w:val="auto"/>
        </w:rPr>
        <w:t>T. Freyman, $25,000; B. Hart, $25,000; M. Meyer, $25,000; E. Rapp, $25,000; R. Roberts, $25,000;</w:t>
      </w:r>
    </w:p>
    <w:p>
      <w:pPr>
        <w:spacing w:after="0" w:line="1" w:lineRule="exact"/>
        <w:rPr>
          <w:sz w:val="20"/>
          <w:szCs w:val="20"/>
          <w:color w:val="auto"/>
        </w:rPr>
      </w:pPr>
    </w:p>
    <w:p>
      <w:pPr>
        <w:ind w:left="321"/>
        <w:spacing w:after="0"/>
        <w:rPr>
          <w:sz w:val="20"/>
          <w:szCs w:val="20"/>
          <w:color w:val="auto"/>
        </w:rPr>
      </w:pPr>
      <w:r>
        <w:rPr>
          <w:rFonts w:ascii="Arial" w:cs="Arial" w:eastAsia="Arial" w:hAnsi="Arial"/>
          <w:sz w:val="18"/>
          <w:szCs w:val="18"/>
          <w:color w:val="auto"/>
        </w:rPr>
        <w:t>G. Tilton, $25,000; and F. Waddell, $25,000. This column also includes reimbursement for certain taxes.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874395" cy="16319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588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31" w:name="page32"/>
    <w:bookmarkEnd w:id="31"/>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36"/>
          <w:szCs w:val="36"/>
          <w:color w:val="071D49"/>
        </w:rPr>
        <w:t>SECURITIES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588073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20" w:lineRule="exact"/>
        <w:rPr>
          <w:sz w:val="20"/>
          <w:szCs w:val="20"/>
          <w:color w:val="auto"/>
        </w:rPr>
      </w:pPr>
    </w:p>
    <w:p>
      <w:pPr>
        <w:ind w:left="1"/>
        <w:spacing w:after="0"/>
        <w:rPr>
          <w:sz w:val="20"/>
          <w:szCs w:val="20"/>
          <w:color w:val="auto"/>
        </w:rPr>
      </w:pPr>
      <w:r>
        <w:rPr>
          <w:rFonts w:ascii="Arial" w:cs="Arial" w:eastAsia="Arial" w:hAnsi="Arial"/>
          <w:sz w:val="32"/>
          <w:szCs w:val="32"/>
          <w:color w:val="auto"/>
        </w:rPr>
        <w:t>Securities Ownership of Executive Officers and Directors</w:t>
      </w:r>
    </w:p>
    <w:p>
      <w:pPr>
        <w:spacing w:after="0" w:line="181" w:lineRule="exact"/>
        <w:rPr>
          <w:sz w:val="20"/>
          <w:szCs w:val="20"/>
          <w:color w:val="auto"/>
        </w:rPr>
      </w:pPr>
    </w:p>
    <w:p>
      <w:pPr>
        <w:ind w:left="1" w:right="40"/>
        <w:spacing w:after="0" w:line="238" w:lineRule="auto"/>
        <w:rPr>
          <w:sz w:val="20"/>
          <w:szCs w:val="20"/>
          <w:color w:val="auto"/>
        </w:rPr>
      </w:pPr>
      <w:r>
        <w:rPr>
          <w:rFonts w:ascii="Arial" w:cs="Arial" w:eastAsia="Arial" w:hAnsi="Arial"/>
          <w:sz w:val="18"/>
          <w:szCs w:val="18"/>
          <w:color w:val="auto"/>
        </w:rPr>
        <w:t>The table below reflects the number of shares of AbbVie common stock beneficially owned as of January 31, 2022, by each director and director nominee, the chief executive officer, the chief financial officer, and the three other most highly paid executive officers (NEOs), and by all directors and executive officers of AbbVie as a group. It also reflects the number of stock equivalent units and restricted stock units held by non-employee directors under the AbbVie Non-Employee Directors’ Fee Plan.</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jc w:val="right"/>
              <w:ind w:right="53"/>
              <w:spacing w:after="0"/>
              <w:rPr>
                <w:sz w:val="20"/>
                <w:szCs w:val="20"/>
                <w:color w:val="auto"/>
              </w:rPr>
            </w:pPr>
            <w:r>
              <w:rPr>
                <w:rFonts w:ascii="Arial" w:cs="Arial" w:eastAsia="Arial" w:hAnsi="Arial"/>
                <w:sz w:val="14"/>
                <w:szCs w:val="14"/>
                <w:b w:val="1"/>
                <w:bCs w:val="1"/>
                <w:color w:val="071D49"/>
              </w:rPr>
              <w:t>Stock Options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71D49"/>
              </w:rPr>
              <w:t>Stock</w:t>
            </w:r>
          </w:p>
        </w:tc>
      </w:tr>
      <w:tr>
        <w:trPr>
          <w:trHeight w:val="162"/>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80" w:type="dxa"/>
            <w:vAlign w:val="bottom"/>
          </w:tcPr>
          <w:p>
            <w:pPr>
              <w:jc w:val="right"/>
              <w:ind w:right="54"/>
              <w:spacing w:after="0"/>
              <w:rPr>
                <w:sz w:val="20"/>
                <w:szCs w:val="20"/>
                <w:color w:val="auto"/>
              </w:rPr>
            </w:pPr>
            <w:r>
              <w:rPr>
                <w:rFonts w:ascii="Arial" w:cs="Arial" w:eastAsia="Arial" w:hAnsi="Arial"/>
                <w:sz w:val="14"/>
                <w:szCs w:val="14"/>
                <w:b w:val="1"/>
                <w:bCs w:val="1"/>
                <w:color w:val="071D49"/>
              </w:rPr>
              <w:t>Shares</w:t>
            </w:r>
          </w:p>
        </w:tc>
        <w:tc>
          <w:tcPr>
            <w:tcW w:w="1600" w:type="dxa"/>
            <w:vAlign w:val="bottom"/>
          </w:tcPr>
          <w:p>
            <w:pPr>
              <w:jc w:val="right"/>
              <w:ind w:right="53"/>
              <w:spacing w:after="0"/>
              <w:rPr>
                <w:sz w:val="20"/>
                <w:szCs w:val="20"/>
                <w:color w:val="auto"/>
              </w:rPr>
            </w:pPr>
            <w:r>
              <w:rPr>
                <w:rFonts w:ascii="Arial" w:cs="Arial" w:eastAsia="Arial" w:hAnsi="Arial"/>
                <w:sz w:val="14"/>
                <w:szCs w:val="14"/>
                <w:b w:val="1"/>
                <w:bCs w:val="1"/>
                <w:color w:val="071D49"/>
              </w:rPr>
              <w:t>Exercisable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71D49"/>
              </w:rPr>
              <w:t>Equivalent</w:t>
            </w:r>
          </w:p>
        </w:tc>
      </w:tr>
      <w:tr>
        <w:trPr>
          <w:trHeight w:val="160"/>
        </w:trPr>
        <w:tc>
          <w:tcPr>
            <w:tcW w:w="2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980" w:type="dxa"/>
            <w:vAlign w:val="bottom"/>
          </w:tcPr>
          <w:p>
            <w:pPr>
              <w:jc w:val="right"/>
              <w:ind w:right="54"/>
              <w:spacing w:after="0"/>
              <w:rPr>
                <w:sz w:val="20"/>
                <w:szCs w:val="20"/>
                <w:color w:val="auto"/>
              </w:rPr>
            </w:pPr>
            <w:r>
              <w:rPr>
                <w:rFonts w:ascii="Arial" w:cs="Arial" w:eastAsia="Arial" w:hAnsi="Arial"/>
                <w:sz w:val="14"/>
                <w:szCs w:val="14"/>
                <w:b w:val="1"/>
                <w:bCs w:val="1"/>
                <w:color w:val="071D49"/>
              </w:rPr>
              <w:t>Beneficially</w:t>
            </w:r>
          </w:p>
        </w:tc>
        <w:tc>
          <w:tcPr>
            <w:tcW w:w="1600" w:type="dxa"/>
            <w:vAlign w:val="bottom"/>
          </w:tcPr>
          <w:p>
            <w:pPr>
              <w:jc w:val="right"/>
              <w:ind w:right="53"/>
              <w:spacing w:after="0"/>
              <w:rPr>
                <w:sz w:val="20"/>
                <w:szCs w:val="20"/>
                <w:color w:val="auto"/>
              </w:rPr>
            </w:pPr>
            <w:r>
              <w:rPr>
                <w:rFonts w:ascii="Arial" w:cs="Arial" w:eastAsia="Arial" w:hAnsi="Arial"/>
                <w:sz w:val="14"/>
                <w:szCs w:val="14"/>
                <w:b w:val="1"/>
                <w:bCs w:val="1"/>
                <w:color w:val="071D49"/>
              </w:rPr>
              <w:t>within 60 days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071D49"/>
              </w:rPr>
              <w:t>Units</w:t>
            </w:r>
          </w:p>
        </w:tc>
      </w:tr>
      <w:tr>
        <w:trPr>
          <w:trHeight w:val="177"/>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071D49"/>
              </w:rPr>
              <w:t>Name</w:t>
            </w:r>
          </w:p>
        </w:tc>
        <w:tc>
          <w:tcPr>
            <w:tcW w:w="1980" w:type="dxa"/>
            <w:vAlign w:val="bottom"/>
            <w:tcBorders>
              <w:bottom w:val="single" w:sz="8" w:color="auto"/>
            </w:tcBorders>
          </w:tcPr>
          <w:p>
            <w:pPr>
              <w:jc w:val="right"/>
              <w:ind w:right="54"/>
              <w:spacing w:after="0" w:line="177" w:lineRule="exact"/>
              <w:rPr>
                <w:sz w:val="20"/>
                <w:szCs w:val="20"/>
                <w:color w:val="auto"/>
              </w:rPr>
            </w:pPr>
            <w:r>
              <w:rPr>
                <w:rFonts w:ascii="Arial" w:cs="Arial" w:eastAsia="Arial" w:hAnsi="Arial"/>
                <w:sz w:val="20"/>
                <w:szCs w:val="20"/>
                <w:b w:val="1"/>
                <w:bCs w:val="1"/>
                <w:color w:val="071D49"/>
                <w:vertAlign w:val="subscript"/>
              </w:rPr>
              <w:t>Owned</w:t>
            </w:r>
            <w:r>
              <w:rPr>
                <w:rFonts w:ascii="Arial" w:cs="Arial" w:eastAsia="Arial" w:hAnsi="Arial"/>
                <w:sz w:val="9"/>
                <w:szCs w:val="9"/>
                <w:b w:val="1"/>
                <w:bCs w:val="1"/>
                <w:color w:val="071D49"/>
              </w:rPr>
              <w:t>(1)(2)(3)</w:t>
            </w:r>
          </w:p>
        </w:tc>
        <w:tc>
          <w:tcPr>
            <w:tcW w:w="1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071D49"/>
              </w:rPr>
              <w:t>of January 31, 2022</w:t>
            </w:r>
          </w:p>
        </w:tc>
        <w:tc>
          <w:tcPr>
            <w:tcW w:w="900" w:type="dxa"/>
            <w:vAlign w:val="bottom"/>
            <w:tcBorders>
              <w:bottom w:val="single" w:sz="8" w:color="auto"/>
            </w:tcBorders>
          </w:tcPr>
          <w:p>
            <w:pPr>
              <w:spacing w:after="0"/>
              <w:rPr>
                <w:sz w:val="15"/>
                <w:szCs w:val="15"/>
                <w:color w:val="auto"/>
              </w:rPr>
            </w:pPr>
          </w:p>
        </w:tc>
      </w:tr>
      <w:tr>
        <w:trPr>
          <w:trHeight w:val="196"/>
        </w:trPr>
        <w:tc>
          <w:tcPr>
            <w:tcW w:w="4760" w:type="dxa"/>
            <w:vAlign w:val="bottom"/>
            <w:gridSpan w:val="2"/>
            <w:shd w:val="clear" w:color="auto" w:fill="D9D9D9"/>
          </w:tcPr>
          <w:p>
            <w:pPr>
              <w:spacing w:after="0" w:line="196" w:lineRule="exact"/>
              <w:rPr>
                <w:sz w:val="20"/>
                <w:szCs w:val="20"/>
                <w:color w:val="auto"/>
              </w:rPr>
            </w:pPr>
            <w:r>
              <w:rPr>
                <w:rFonts w:ascii="Arial" w:cs="Arial" w:eastAsia="Arial" w:hAnsi="Arial"/>
                <w:sz w:val="18"/>
                <w:szCs w:val="18"/>
                <w:color w:val="auto"/>
              </w:rPr>
              <w:t>R. Gonzalez</w:t>
            </w:r>
          </w:p>
        </w:tc>
        <w:tc>
          <w:tcPr>
            <w:tcW w:w="1980" w:type="dxa"/>
            <w:vAlign w:val="bottom"/>
            <w:shd w:val="clear" w:color="auto" w:fill="D9D9D9"/>
          </w:tcPr>
          <w:p>
            <w:pPr>
              <w:jc w:val="right"/>
              <w:ind w:right="74"/>
              <w:spacing w:after="0" w:line="196" w:lineRule="exact"/>
              <w:rPr>
                <w:sz w:val="20"/>
                <w:szCs w:val="20"/>
                <w:color w:val="auto"/>
              </w:rPr>
            </w:pPr>
            <w:r>
              <w:rPr>
                <w:rFonts w:ascii="Arial" w:cs="Arial" w:eastAsia="Arial" w:hAnsi="Arial"/>
                <w:sz w:val="18"/>
                <w:szCs w:val="18"/>
                <w:color w:val="auto"/>
              </w:rPr>
              <w:t>406,012</w:t>
            </w:r>
          </w:p>
        </w:tc>
        <w:tc>
          <w:tcPr>
            <w:tcW w:w="1600" w:type="dxa"/>
            <w:vAlign w:val="bottom"/>
            <w:shd w:val="clear" w:color="auto" w:fill="D9D9D9"/>
          </w:tcPr>
          <w:p>
            <w:pPr>
              <w:jc w:val="right"/>
              <w:ind w:right="73"/>
              <w:spacing w:after="0" w:line="196" w:lineRule="exact"/>
              <w:rPr>
                <w:sz w:val="20"/>
                <w:szCs w:val="20"/>
                <w:color w:val="auto"/>
              </w:rPr>
            </w:pPr>
            <w:r>
              <w:rPr>
                <w:rFonts w:ascii="Arial" w:cs="Arial" w:eastAsia="Arial" w:hAnsi="Arial"/>
                <w:sz w:val="18"/>
                <w:szCs w:val="18"/>
                <w:color w:val="auto"/>
              </w:rPr>
              <w:t>610,724</w:t>
            </w:r>
          </w:p>
        </w:tc>
        <w:tc>
          <w:tcPr>
            <w:tcW w:w="9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R. Alpern</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30,121</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8,210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R. Austin</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49,284</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 Burnside</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21,562</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T. Freyman</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129,237</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B. Hart</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14,076</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E. Liddy</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26,683</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28,024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M. Meyer</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11,102</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E. Rapp</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37,551</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21,434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R. Roberts</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8,332</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G. Tilton</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46,518</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35,217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F. Waddell</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23,562</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R. Michael</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37,877</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176,768</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L. Schumacher</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197,098</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312,592</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M. Severino</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103,252</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579,801</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J. Stewart</w:t>
            </w:r>
          </w:p>
        </w:tc>
        <w:tc>
          <w:tcPr>
            <w:tcW w:w="19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48,442</w:t>
            </w:r>
          </w:p>
        </w:tc>
        <w:tc>
          <w:tcPr>
            <w:tcW w:w="160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164,606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4760" w:type="dxa"/>
            <w:vAlign w:val="bottom"/>
            <w:gridSpan w:val="2"/>
            <w:shd w:val="clear" w:color="auto" w:fill="D9D9D9"/>
          </w:tcPr>
          <w:p>
            <w:pPr>
              <w:spacing w:after="0" w:line="202" w:lineRule="exact"/>
              <w:rPr>
                <w:sz w:val="20"/>
                <w:szCs w:val="20"/>
                <w:color w:val="auto"/>
              </w:rPr>
            </w:pPr>
            <w:r>
              <w:rPr>
                <w:rFonts w:ascii="Arial" w:cs="Arial" w:eastAsia="Arial" w:hAnsi="Arial"/>
                <w:sz w:val="16"/>
                <w:szCs w:val="16"/>
                <w:color w:val="auto"/>
              </w:rPr>
              <w:t>All directors and executive officers as a group</w:t>
            </w:r>
            <w:r>
              <w:rPr>
                <w:rFonts w:ascii="Arial" w:cs="Arial" w:eastAsia="Arial" w:hAnsi="Arial"/>
                <w:sz w:val="23"/>
                <w:szCs w:val="23"/>
                <w:color w:val="auto"/>
                <w:vertAlign w:val="superscript"/>
              </w:rPr>
              <w:t>(4)</w:t>
            </w:r>
          </w:p>
        </w:tc>
        <w:tc>
          <w:tcPr>
            <w:tcW w:w="1980" w:type="dxa"/>
            <w:vAlign w:val="bottom"/>
            <w:shd w:val="clear" w:color="auto" w:fill="D9D9D9"/>
          </w:tcPr>
          <w:p>
            <w:pPr>
              <w:jc w:val="right"/>
              <w:ind w:right="74"/>
              <w:spacing w:after="0" w:line="202" w:lineRule="exact"/>
              <w:rPr>
                <w:sz w:val="20"/>
                <w:szCs w:val="20"/>
                <w:color w:val="auto"/>
              </w:rPr>
            </w:pPr>
            <w:r>
              <w:rPr>
                <w:rFonts w:ascii="Arial" w:cs="Arial" w:eastAsia="Arial" w:hAnsi="Arial"/>
                <w:sz w:val="18"/>
                <w:szCs w:val="18"/>
                <w:color w:val="auto"/>
              </w:rPr>
              <w:t>1,500,479</w:t>
            </w:r>
          </w:p>
        </w:tc>
        <w:tc>
          <w:tcPr>
            <w:tcW w:w="1600" w:type="dxa"/>
            <w:vAlign w:val="bottom"/>
            <w:shd w:val="clear" w:color="auto" w:fill="D9D9D9"/>
          </w:tcPr>
          <w:p>
            <w:pPr>
              <w:jc w:val="right"/>
              <w:ind w:right="73"/>
              <w:spacing w:after="0" w:line="202" w:lineRule="exact"/>
              <w:rPr>
                <w:sz w:val="20"/>
                <w:szCs w:val="20"/>
                <w:color w:val="auto"/>
              </w:rPr>
            </w:pPr>
            <w:r>
              <w:rPr>
                <w:rFonts w:ascii="Arial" w:cs="Arial" w:eastAsia="Arial" w:hAnsi="Arial"/>
                <w:sz w:val="18"/>
                <w:szCs w:val="18"/>
                <w:color w:val="auto"/>
              </w:rPr>
              <w:t>1,844,491</w:t>
            </w:r>
          </w:p>
        </w:tc>
        <w:tc>
          <w:tcPr>
            <w:tcW w:w="9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92,885</w:t>
            </w:r>
          </w:p>
        </w:tc>
      </w:tr>
      <w:tr>
        <w:trPr>
          <w:trHeight w:val="108"/>
        </w:trPr>
        <w:tc>
          <w:tcPr>
            <w:tcW w:w="232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80" w:lineRule="exact"/>
        <w:rPr>
          <w:sz w:val="20"/>
          <w:szCs w:val="20"/>
          <w:color w:val="auto"/>
        </w:rPr>
      </w:pPr>
    </w:p>
    <w:p>
      <w:pPr>
        <w:ind w:left="321" w:right="40" w:hanging="321"/>
        <w:spacing w:after="0"/>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table includes shares held in the executive officers’ accounts in the AbbVie Savings Plan as follows: all executive officers as a group, 5,780. Each executive officer has shared voting power and sole investment power with respect to the shares held in his or her account.</w:t>
      </w:r>
    </w:p>
    <w:p>
      <w:pPr>
        <w:spacing w:after="0" w:line="135" w:lineRule="exact"/>
        <w:rPr>
          <w:rFonts w:ascii="Arial" w:cs="Arial" w:eastAsia="Arial" w:hAnsi="Arial"/>
          <w:sz w:val="18"/>
          <w:szCs w:val="18"/>
          <w:color w:val="auto"/>
        </w:rPr>
      </w:pPr>
    </w:p>
    <w:p>
      <w:pPr>
        <w:ind w:left="321" w:right="120" w:hanging="321"/>
        <w:spacing w:after="0" w:line="246" w:lineRule="auto"/>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table includes restricted stock units held by the non-employee directors. The directors’ units are payable in stock as described in footnote (2) to the Director Compensation table.</w:t>
      </w:r>
    </w:p>
    <w:p>
      <w:pPr>
        <w:spacing w:after="0" w:line="129" w:lineRule="exact"/>
        <w:rPr>
          <w:rFonts w:ascii="Arial" w:cs="Arial" w:eastAsia="Arial" w:hAnsi="Arial"/>
          <w:sz w:val="18"/>
          <w:szCs w:val="18"/>
          <w:color w:val="auto"/>
        </w:rPr>
      </w:pPr>
    </w:p>
    <w:p>
      <w:pPr>
        <w:ind w:left="321" w:right="520" w:hanging="321"/>
        <w:spacing w:after="0" w:line="246" w:lineRule="auto"/>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table includes shared voting and/or investment power over shares as follows: R. Gonzalez, 29,415; T. Freyman, 7,882; G. Tilton, 350; and all directors and executive officers as a group, 137,560.</w:t>
      </w:r>
    </w:p>
    <w:p>
      <w:pPr>
        <w:spacing w:after="0" w:line="115" w:lineRule="exact"/>
        <w:rPr>
          <w:rFonts w:ascii="Arial" w:cs="Arial" w:eastAsia="Arial" w:hAnsi="Arial"/>
          <w:sz w:val="18"/>
          <w:szCs w:val="18"/>
          <w:color w:val="auto"/>
        </w:rPr>
      </w:pPr>
    </w:p>
    <w:p>
      <w:pPr>
        <w:ind w:left="321" w:hanging="321"/>
        <w:spacing w:after="0"/>
        <w:tabs>
          <w:tab w:leader="none" w:pos="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directors and executive officers as a group own less than one percent of the outstanding shares of AbbVie.</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32"/>
          <w:szCs w:val="32"/>
          <w:color w:val="auto"/>
        </w:rPr>
        <w:t>Securities Ownership of Principal Stockholders</w:t>
      </w:r>
    </w:p>
    <w:p>
      <w:pPr>
        <w:spacing w:after="0" w:line="181" w:lineRule="exact"/>
        <w:rPr>
          <w:sz w:val="20"/>
          <w:szCs w:val="20"/>
          <w:color w:val="auto"/>
        </w:rPr>
      </w:pPr>
    </w:p>
    <w:p>
      <w:pPr>
        <w:ind w:left="1" w:right="60"/>
        <w:spacing w:after="0" w:line="236" w:lineRule="auto"/>
        <w:rPr>
          <w:sz w:val="20"/>
          <w:szCs w:val="20"/>
          <w:color w:val="auto"/>
        </w:rPr>
      </w:pPr>
      <w:r>
        <w:rPr>
          <w:rFonts w:ascii="Arial" w:cs="Arial" w:eastAsia="Arial" w:hAnsi="Arial"/>
          <w:sz w:val="18"/>
          <w:szCs w:val="18"/>
          <w:color w:val="auto"/>
        </w:rPr>
        <w:t>The table below reports the number of shares of AbbVie common stock beneficially owned as of December 31, 2021 by The Vanguard Group and BlackRock, Inc. (directly or through subsidiaries), respectively, the only persons known to AbbVie to own beneficially more than 5% of AbbVie’s outstanding common stock. It is based on information contained in Schedules 13G filed with the Securities and Exchange Commission by The Vanguard Group on February 9, 2022 and by BlackRock, Inc. on February 3, 2022. The Vanguard Group reported that it had sole voting power with respect to 0 shares, shared voting power with respect to 3,006,849 shares, sole dispositive power with respect to 138,828,740 shares and shared dispositive power with respect to 7,483,329 shares. BlackRock, Inc. reported that it had sole voting power with respect to 111,064,229 shares, shared voting power with respect to 0 shares, sole dispositive power with respect to 128,197,555 shares and shared dispositive power with respect to 0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SECURITIES OWNERSHIP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Borders>
              <w:bottom w:val="single" w:sz="8" w:color="071D49"/>
            </w:tcBorders>
          </w:tcPr>
          <w:p>
            <w:pPr>
              <w:spacing w:after="0"/>
              <w:rPr>
                <w:sz w:val="20"/>
                <w:szCs w:val="20"/>
                <w:color w:val="auto"/>
              </w:rPr>
            </w:pPr>
            <w:r>
              <w:rPr>
                <w:rFonts w:ascii="Arial" w:cs="Arial" w:eastAsia="Arial" w:hAnsi="Arial"/>
                <w:sz w:val="14"/>
                <w:szCs w:val="14"/>
                <w:b w:val="1"/>
                <w:bCs w:val="1"/>
                <w:color w:val="071D49"/>
              </w:rPr>
              <w:t>Name and Address of Beneficial Owner</w:t>
            </w:r>
          </w:p>
        </w:tc>
        <w:tc>
          <w:tcPr>
            <w:tcW w:w="2140" w:type="dxa"/>
            <w:vAlign w:val="bottom"/>
            <w:tcBorders>
              <w:bottom w:val="single" w:sz="8" w:color="071D49"/>
            </w:tcBorders>
          </w:tcPr>
          <w:p>
            <w:pPr>
              <w:jc w:val="right"/>
              <w:ind w:right="16"/>
              <w:spacing w:after="0"/>
              <w:rPr>
                <w:sz w:val="20"/>
                <w:szCs w:val="20"/>
                <w:color w:val="auto"/>
              </w:rPr>
            </w:pPr>
            <w:r>
              <w:rPr>
                <w:rFonts w:ascii="Arial" w:cs="Arial" w:eastAsia="Arial" w:hAnsi="Arial"/>
                <w:sz w:val="14"/>
                <w:szCs w:val="14"/>
                <w:b w:val="1"/>
                <w:bCs w:val="1"/>
                <w:color w:val="071D49"/>
              </w:rPr>
              <w:t>Shares Beneficially Owned</w:t>
            </w:r>
          </w:p>
        </w:tc>
        <w:tc>
          <w:tcPr>
            <w:tcW w:w="1460" w:type="dxa"/>
            <w:vAlign w:val="bottom"/>
            <w:tcBorders>
              <w:bottom w:val="single" w:sz="8" w:color="071D49"/>
            </w:tcBorders>
          </w:tcPr>
          <w:p>
            <w:pPr>
              <w:jc w:val="right"/>
              <w:ind w:right="136"/>
              <w:spacing w:after="0"/>
              <w:rPr>
                <w:sz w:val="20"/>
                <w:szCs w:val="20"/>
                <w:color w:val="auto"/>
              </w:rPr>
            </w:pPr>
            <w:r>
              <w:rPr>
                <w:rFonts w:ascii="Arial" w:cs="Arial" w:eastAsia="Arial" w:hAnsi="Arial"/>
                <w:sz w:val="14"/>
                <w:szCs w:val="14"/>
                <w:b w:val="1"/>
                <w:bCs w:val="1"/>
                <w:color w:val="071D49"/>
              </w:rPr>
              <w:t>Percent of Class</w:t>
            </w:r>
          </w:p>
        </w:tc>
      </w:tr>
      <w:tr>
        <w:trPr>
          <w:trHeight w:val="195"/>
        </w:trPr>
        <w:tc>
          <w:tcPr>
            <w:tcW w:w="5640" w:type="dxa"/>
            <w:vAlign w:val="bottom"/>
            <w:shd w:val="clear" w:color="auto" w:fill="D9D9D9"/>
          </w:tcPr>
          <w:p>
            <w:pPr>
              <w:jc w:val="right"/>
              <w:ind w:right="3874"/>
              <w:spacing w:after="0" w:line="195" w:lineRule="exact"/>
              <w:rPr>
                <w:sz w:val="20"/>
                <w:szCs w:val="20"/>
                <w:color w:val="auto"/>
              </w:rPr>
            </w:pPr>
            <w:r>
              <w:rPr>
                <w:rFonts w:ascii="Arial" w:cs="Arial" w:eastAsia="Arial" w:hAnsi="Arial"/>
                <w:sz w:val="18"/>
                <w:szCs w:val="18"/>
                <w:color w:val="auto"/>
                <w:w w:val="98"/>
              </w:rPr>
              <w:t>The Vanguard Group</w:t>
            </w:r>
          </w:p>
        </w:tc>
        <w:tc>
          <w:tcPr>
            <w:tcW w:w="2140" w:type="dxa"/>
            <w:vAlign w:val="bottom"/>
            <w:shd w:val="clear" w:color="auto" w:fill="D9D9D9"/>
          </w:tcPr>
          <w:p>
            <w:pPr>
              <w:jc w:val="right"/>
              <w:ind w:right="36"/>
              <w:spacing w:after="0" w:line="195" w:lineRule="exact"/>
              <w:rPr>
                <w:sz w:val="20"/>
                <w:szCs w:val="20"/>
                <w:color w:val="auto"/>
              </w:rPr>
            </w:pPr>
            <w:r>
              <w:rPr>
                <w:rFonts w:ascii="Arial" w:cs="Arial" w:eastAsia="Arial" w:hAnsi="Arial"/>
                <w:sz w:val="18"/>
                <w:szCs w:val="18"/>
                <w:color w:val="auto"/>
              </w:rPr>
              <w:t>146,312,069</w:t>
            </w:r>
          </w:p>
        </w:tc>
        <w:tc>
          <w:tcPr>
            <w:tcW w:w="1460" w:type="dxa"/>
            <w:vAlign w:val="bottom"/>
            <w:shd w:val="clear" w:color="auto" w:fill="D9D9D9"/>
          </w:tcPr>
          <w:p>
            <w:pPr>
              <w:jc w:val="right"/>
              <w:spacing w:after="0" w:line="195" w:lineRule="exact"/>
              <w:rPr>
                <w:sz w:val="20"/>
                <w:szCs w:val="20"/>
                <w:color w:val="auto"/>
              </w:rPr>
            </w:pPr>
            <w:r>
              <w:rPr>
                <w:rFonts w:ascii="Arial" w:cs="Arial" w:eastAsia="Arial" w:hAnsi="Arial"/>
                <w:sz w:val="18"/>
                <w:szCs w:val="18"/>
                <w:color w:val="auto"/>
              </w:rPr>
              <w:t>8.28 %</w:t>
            </w:r>
          </w:p>
        </w:tc>
      </w:tr>
      <w:tr>
        <w:trPr>
          <w:trHeight w:val="203"/>
        </w:trPr>
        <w:tc>
          <w:tcPr>
            <w:tcW w:w="5640" w:type="dxa"/>
            <w:vAlign w:val="bottom"/>
            <w:shd w:val="clear" w:color="auto" w:fill="D9D9D9"/>
          </w:tcPr>
          <w:p>
            <w:pPr>
              <w:jc w:val="right"/>
              <w:ind w:right="3874"/>
              <w:spacing w:after="0" w:line="202" w:lineRule="exact"/>
              <w:rPr>
                <w:sz w:val="20"/>
                <w:szCs w:val="20"/>
                <w:color w:val="auto"/>
              </w:rPr>
            </w:pPr>
            <w:r>
              <w:rPr>
                <w:rFonts w:ascii="Arial" w:cs="Arial" w:eastAsia="Arial" w:hAnsi="Arial"/>
                <w:sz w:val="18"/>
                <w:szCs w:val="18"/>
                <w:color w:val="auto"/>
              </w:rPr>
              <w:t>100 Vanguard Blvd.</w:t>
            </w:r>
          </w:p>
        </w:tc>
        <w:tc>
          <w:tcPr>
            <w:tcW w:w="214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r>
      <w:tr>
        <w:trPr>
          <w:trHeight w:val="203"/>
        </w:trPr>
        <w:tc>
          <w:tcPr>
            <w:tcW w:w="5640" w:type="dxa"/>
            <w:vAlign w:val="bottom"/>
            <w:shd w:val="clear" w:color="auto" w:fill="D9D9D9"/>
          </w:tcPr>
          <w:p>
            <w:pPr>
              <w:jc w:val="right"/>
              <w:ind w:right="3874"/>
              <w:spacing w:after="0" w:line="203" w:lineRule="exact"/>
              <w:rPr>
                <w:sz w:val="20"/>
                <w:szCs w:val="20"/>
                <w:color w:val="auto"/>
              </w:rPr>
            </w:pPr>
            <w:r>
              <w:rPr>
                <w:rFonts w:ascii="Arial" w:cs="Arial" w:eastAsia="Arial" w:hAnsi="Arial"/>
                <w:sz w:val="18"/>
                <w:szCs w:val="18"/>
                <w:color w:val="auto"/>
              </w:rPr>
              <w:t>Malvern, PA 19355</w:t>
            </w:r>
          </w:p>
        </w:tc>
        <w:tc>
          <w:tcPr>
            <w:tcW w:w="214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2140" w:type="dxa"/>
            <w:vAlign w:val="bottom"/>
          </w:tcPr>
          <w:p>
            <w:pPr>
              <w:jc w:val="right"/>
              <w:ind w:right="36"/>
              <w:spacing w:after="0" w:line="201" w:lineRule="exact"/>
              <w:rPr>
                <w:sz w:val="20"/>
                <w:szCs w:val="20"/>
                <w:color w:val="auto"/>
              </w:rPr>
            </w:pPr>
            <w:r>
              <w:rPr>
                <w:rFonts w:ascii="Arial" w:cs="Arial" w:eastAsia="Arial" w:hAnsi="Arial"/>
                <w:sz w:val="18"/>
                <w:szCs w:val="18"/>
                <w:color w:val="auto"/>
              </w:rPr>
              <w:t>128,197,555</w:t>
            </w:r>
          </w:p>
        </w:tc>
        <w:tc>
          <w:tcPr>
            <w:tcW w:w="1460" w:type="dxa"/>
            <w:vAlign w:val="bottom"/>
          </w:tcPr>
          <w:p>
            <w:pPr>
              <w:jc w:val="right"/>
              <w:spacing w:after="0" w:line="201" w:lineRule="exact"/>
              <w:rPr>
                <w:sz w:val="20"/>
                <w:szCs w:val="20"/>
                <w:color w:val="auto"/>
              </w:rPr>
            </w:pPr>
            <w:r>
              <w:rPr>
                <w:rFonts w:ascii="Arial" w:cs="Arial" w:eastAsia="Arial" w:hAnsi="Arial"/>
                <w:sz w:val="18"/>
                <w:szCs w:val="18"/>
                <w:color w:val="auto"/>
              </w:rPr>
              <w:t>7.3 %</w:t>
            </w:r>
          </w:p>
        </w:tc>
      </w:tr>
      <w:tr>
        <w:trPr>
          <w:trHeight w:val="203"/>
        </w:trPr>
        <w:tc>
          <w:tcPr>
            <w:tcW w:w="5640" w:type="dxa"/>
            <w:vAlign w:val="bottom"/>
          </w:tcPr>
          <w:p>
            <w:pPr>
              <w:ind w:left="100"/>
              <w:spacing w:after="0" w:line="20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w:t>
            </w:r>
          </w:p>
        </w:tc>
        <w:tc>
          <w:tcPr>
            <w:tcW w:w="2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6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New York, NY 10055</w:t>
            </w:r>
          </w:p>
        </w:tc>
        <w:tc>
          <w:tcPr>
            <w:tcW w:w="2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874395" cy="1631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color w:val="071D4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588073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32"/>
          <w:szCs w:val="32"/>
          <w:color w:val="auto"/>
        </w:rPr>
        <w:t>Compensation Discussion and Analysis</w:t>
      </w:r>
    </w:p>
    <w:p>
      <w:pPr>
        <w:spacing w:after="0" w:line="181"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26035" cy="9772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977265"/>
                    </a:xfrm>
                    <a:prstGeom prst="rect">
                      <a:avLst/>
                    </a:prstGeom>
                    <a:noFill/>
                  </pic:spPr>
                </pic:pic>
              </a:graphicData>
            </a:graphic>
          </wp:anchor>
        </w:drawing>
      </w:r>
    </w:p>
    <w:p>
      <w:pPr>
        <w:spacing w:after="0" w:line="89" w:lineRule="exact"/>
        <w:rPr>
          <w:sz w:val="20"/>
          <w:szCs w:val="20"/>
          <w:color w:val="auto"/>
        </w:rPr>
      </w:pPr>
    </w:p>
    <w:tbl>
      <w:tblPr>
        <w:tblLayout w:type="fixed"/>
        <w:tblInd w:w="100" w:type="dxa"/>
        <w:tblCellMar>
          <w:top w:w="0" w:type="dxa"/>
          <w:left w:w="0" w:type="dxa"/>
          <w:bottom w:w="0" w:type="dxa"/>
          <w:right w:w="0" w:type="dxa"/>
        </w:tblCellMar>
      </w:tblPr>
      <w:tr>
        <w:trPr>
          <w:trHeight w:val="288"/>
        </w:trPr>
        <w:tc>
          <w:tcPr>
            <w:tcW w:w="1800" w:type="dxa"/>
            <w:vAlign w:val="bottom"/>
            <w:tcBorders>
              <w:right w:val="single" w:sz="8" w:color="071D49"/>
            </w:tcBorders>
          </w:tcPr>
          <w:p>
            <w:pPr>
              <w:spacing w:after="0"/>
              <w:rPr>
                <w:sz w:val="20"/>
                <w:szCs w:val="20"/>
                <w:color w:val="auto"/>
              </w:rPr>
            </w:pPr>
            <w:r>
              <w:rPr>
                <w:rFonts w:ascii="Arial" w:cs="Arial" w:eastAsia="Arial" w:hAnsi="Arial"/>
                <w:sz w:val="18"/>
                <w:szCs w:val="18"/>
                <w:b w:val="1"/>
                <w:bCs w:val="1"/>
                <w:color w:val="auto"/>
              </w:rPr>
              <w:t>RICHARD A.</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ROBERT A.</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LAURA J.</w:t>
            </w:r>
          </w:p>
        </w:tc>
        <w:tc>
          <w:tcPr>
            <w:tcW w:w="190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MICHAEL E.</w:t>
            </w: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JEFFREY R.</w:t>
            </w:r>
          </w:p>
        </w:tc>
      </w:tr>
      <w:tr>
        <w:trPr>
          <w:trHeight w:val="239"/>
        </w:trPr>
        <w:tc>
          <w:tcPr>
            <w:tcW w:w="1800" w:type="dxa"/>
            <w:vAlign w:val="bottom"/>
            <w:tcBorders>
              <w:right w:val="single" w:sz="8" w:color="071D49"/>
            </w:tcBorders>
          </w:tcPr>
          <w:p>
            <w:pPr>
              <w:spacing w:after="0"/>
              <w:rPr>
                <w:sz w:val="20"/>
                <w:szCs w:val="20"/>
                <w:color w:val="auto"/>
              </w:rPr>
            </w:pPr>
            <w:r>
              <w:rPr>
                <w:rFonts w:ascii="Arial" w:cs="Arial" w:eastAsia="Arial" w:hAnsi="Arial"/>
                <w:sz w:val="18"/>
                <w:szCs w:val="18"/>
                <w:b w:val="1"/>
                <w:bCs w:val="1"/>
                <w:color w:val="auto"/>
              </w:rPr>
              <w:t>GONZALEZ</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MICHAEL</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SCHUMACHER</w:t>
            </w:r>
          </w:p>
        </w:tc>
        <w:tc>
          <w:tcPr>
            <w:tcW w:w="190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auto"/>
              </w:rPr>
              <w:t>SEVERINO</w:t>
            </w: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STEWART</w:t>
            </w:r>
          </w:p>
        </w:tc>
      </w:tr>
      <w:tr>
        <w:trPr>
          <w:trHeight w:val="261"/>
        </w:trPr>
        <w:tc>
          <w:tcPr>
            <w:tcW w:w="1800" w:type="dxa"/>
            <w:vAlign w:val="bottom"/>
            <w:tcBorders>
              <w:right w:val="single" w:sz="8" w:color="071D49"/>
            </w:tcBorders>
          </w:tcPr>
          <w:p>
            <w:pPr>
              <w:spacing w:after="0"/>
              <w:rPr>
                <w:sz w:val="20"/>
                <w:szCs w:val="20"/>
                <w:color w:val="auto"/>
              </w:rPr>
            </w:pPr>
            <w:r>
              <w:rPr>
                <w:rFonts w:ascii="Arial" w:cs="Arial" w:eastAsia="Arial" w:hAnsi="Arial"/>
                <w:sz w:val="14"/>
                <w:szCs w:val="14"/>
                <w:color w:val="auto"/>
              </w:rPr>
              <w:t>Chairman of the Board</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Vice Chairman,</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Vice Chairman,</w:t>
            </w:r>
          </w:p>
        </w:tc>
        <w:tc>
          <w:tcPr>
            <w:tcW w:w="190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Vice Chairman and</w:t>
            </w:r>
          </w:p>
        </w:tc>
        <w:tc>
          <w:tcPr>
            <w:tcW w:w="1300" w:type="dxa"/>
            <w:vAlign w:val="bottom"/>
          </w:tcPr>
          <w:p>
            <w:pPr>
              <w:ind w:left="80"/>
              <w:spacing w:after="0"/>
              <w:rPr>
                <w:sz w:val="20"/>
                <w:szCs w:val="20"/>
                <w:color w:val="auto"/>
              </w:rPr>
            </w:pPr>
            <w:r>
              <w:rPr>
                <w:rFonts w:ascii="Arial" w:cs="Arial" w:eastAsia="Arial" w:hAnsi="Arial"/>
                <w:sz w:val="14"/>
                <w:szCs w:val="14"/>
                <w:color w:val="auto"/>
              </w:rPr>
              <w:t>Executive Vice</w:t>
            </w:r>
          </w:p>
        </w:tc>
      </w:tr>
      <w:tr>
        <w:trPr>
          <w:trHeight w:val="162"/>
        </w:trPr>
        <w:tc>
          <w:tcPr>
            <w:tcW w:w="1800" w:type="dxa"/>
            <w:vAlign w:val="bottom"/>
            <w:tcBorders>
              <w:right w:val="single" w:sz="8" w:color="071D49"/>
            </w:tcBorders>
          </w:tcPr>
          <w:p>
            <w:pPr>
              <w:spacing w:after="0"/>
              <w:rPr>
                <w:sz w:val="20"/>
                <w:szCs w:val="20"/>
                <w:color w:val="auto"/>
              </w:rPr>
            </w:pPr>
            <w:r>
              <w:rPr>
                <w:rFonts w:ascii="Arial" w:cs="Arial" w:eastAsia="Arial" w:hAnsi="Arial"/>
                <w:sz w:val="14"/>
                <w:szCs w:val="14"/>
                <w:color w:val="auto"/>
              </w:rPr>
              <w:t>of Directors and Chief</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Finance and</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External Affairs and</w:t>
            </w:r>
          </w:p>
        </w:tc>
        <w:tc>
          <w:tcPr>
            <w:tcW w:w="190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President</w:t>
            </w:r>
          </w:p>
        </w:tc>
        <w:tc>
          <w:tcPr>
            <w:tcW w:w="1300" w:type="dxa"/>
            <w:vAlign w:val="bottom"/>
          </w:tcPr>
          <w:p>
            <w:pPr>
              <w:ind w:left="80"/>
              <w:spacing w:after="0"/>
              <w:rPr>
                <w:sz w:val="20"/>
                <w:szCs w:val="20"/>
                <w:color w:val="auto"/>
              </w:rPr>
            </w:pPr>
            <w:r>
              <w:rPr>
                <w:rFonts w:ascii="Arial" w:cs="Arial" w:eastAsia="Arial" w:hAnsi="Arial"/>
                <w:sz w:val="14"/>
                <w:szCs w:val="14"/>
                <w:color w:val="auto"/>
              </w:rPr>
              <w:t>President, Chief</w:t>
            </w:r>
          </w:p>
        </w:tc>
      </w:tr>
      <w:tr>
        <w:trPr>
          <w:trHeight w:val="162"/>
        </w:trPr>
        <w:tc>
          <w:tcPr>
            <w:tcW w:w="1800" w:type="dxa"/>
            <w:vAlign w:val="bottom"/>
            <w:tcBorders>
              <w:right w:val="single" w:sz="8" w:color="071D49"/>
            </w:tcBorders>
          </w:tcPr>
          <w:p>
            <w:pPr>
              <w:spacing w:after="0"/>
              <w:rPr>
                <w:sz w:val="20"/>
                <w:szCs w:val="20"/>
                <w:color w:val="auto"/>
              </w:rPr>
            </w:pPr>
            <w:r>
              <w:rPr>
                <w:rFonts w:ascii="Arial" w:cs="Arial" w:eastAsia="Arial" w:hAnsi="Arial"/>
                <w:sz w:val="14"/>
                <w:szCs w:val="14"/>
                <w:color w:val="auto"/>
              </w:rPr>
              <w:t>Executive Officer</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Commercial</w:t>
            </w: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Chief Legal Officer</w:t>
            </w:r>
          </w:p>
        </w:tc>
        <w:tc>
          <w:tcPr>
            <w:tcW w:w="1900" w:type="dxa"/>
            <w:vAlign w:val="bottom"/>
            <w:tcBorders>
              <w:right w:val="single" w:sz="8" w:color="071D49"/>
            </w:tcBorders>
          </w:tcPr>
          <w:p>
            <w:pPr>
              <w:spacing w:after="0"/>
              <w:rPr>
                <w:sz w:val="14"/>
                <w:szCs w:val="14"/>
                <w:color w:val="auto"/>
              </w:rPr>
            </w:pPr>
          </w:p>
        </w:tc>
        <w:tc>
          <w:tcPr>
            <w:tcW w:w="1300" w:type="dxa"/>
            <w:vAlign w:val="bottom"/>
          </w:tcPr>
          <w:p>
            <w:pPr>
              <w:ind w:left="80"/>
              <w:spacing w:after="0"/>
              <w:rPr>
                <w:sz w:val="20"/>
                <w:szCs w:val="20"/>
                <w:color w:val="auto"/>
              </w:rPr>
            </w:pPr>
            <w:r>
              <w:rPr>
                <w:rFonts w:ascii="Arial" w:cs="Arial" w:eastAsia="Arial" w:hAnsi="Arial"/>
                <w:sz w:val="14"/>
                <w:szCs w:val="14"/>
                <w:color w:val="auto"/>
              </w:rPr>
              <w:t>Commercial Officer</w:t>
            </w:r>
          </w:p>
        </w:tc>
      </w:tr>
      <w:tr>
        <w:trPr>
          <w:trHeight w:val="162"/>
        </w:trPr>
        <w:tc>
          <w:tcPr>
            <w:tcW w:w="1800" w:type="dxa"/>
            <w:vAlign w:val="bottom"/>
            <w:tcBorders>
              <w:right w:val="single" w:sz="8" w:color="071D49"/>
            </w:tcBorders>
          </w:tcPr>
          <w:p>
            <w:pPr>
              <w:spacing w:after="0"/>
              <w:rPr>
                <w:sz w:val="14"/>
                <w:szCs w:val="14"/>
                <w:color w:val="auto"/>
              </w:rPr>
            </w:pP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Operations and Chief</w:t>
            </w:r>
          </w:p>
        </w:tc>
        <w:tc>
          <w:tcPr>
            <w:tcW w:w="1880" w:type="dxa"/>
            <w:vAlign w:val="bottom"/>
            <w:tcBorders>
              <w:right w:val="single" w:sz="8" w:color="071D49"/>
            </w:tcBorders>
          </w:tcPr>
          <w:p>
            <w:pPr>
              <w:spacing w:after="0"/>
              <w:rPr>
                <w:sz w:val="14"/>
                <w:szCs w:val="14"/>
                <w:color w:val="auto"/>
              </w:rPr>
            </w:pPr>
          </w:p>
        </w:tc>
        <w:tc>
          <w:tcPr>
            <w:tcW w:w="1900" w:type="dxa"/>
            <w:vAlign w:val="bottom"/>
            <w:tcBorders>
              <w:right w:val="single" w:sz="8" w:color="071D49"/>
            </w:tcBorders>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1800" w:type="dxa"/>
            <w:vAlign w:val="bottom"/>
            <w:tcBorders>
              <w:right w:val="single" w:sz="8" w:color="071D49"/>
            </w:tcBorders>
          </w:tcPr>
          <w:p>
            <w:pPr>
              <w:spacing w:after="0"/>
              <w:rPr>
                <w:sz w:val="14"/>
                <w:szCs w:val="14"/>
                <w:color w:val="auto"/>
              </w:rPr>
            </w:pPr>
          </w:p>
        </w:tc>
        <w:tc>
          <w:tcPr>
            <w:tcW w:w="1880" w:type="dxa"/>
            <w:vAlign w:val="bottom"/>
            <w:tcBorders>
              <w:right w:val="single" w:sz="8" w:color="071D49"/>
            </w:tcBorders>
          </w:tcPr>
          <w:p>
            <w:pPr>
              <w:ind w:left="80"/>
              <w:spacing w:after="0"/>
              <w:rPr>
                <w:sz w:val="20"/>
                <w:szCs w:val="20"/>
                <w:color w:val="auto"/>
              </w:rPr>
            </w:pPr>
            <w:r>
              <w:rPr>
                <w:rFonts w:ascii="Arial" w:cs="Arial" w:eastAsia="Arial" w:hAnsi="Arial"/>
                <w:sz w:val="14"/>
                <w:szCs w:val="14"/>
                <w:color w:val="auto"/>
              </w:rPr>
              <w:t>Financial Officer</w:t>
            </w:r>
          </w:p>
        </w:tc>
        <w:tc>
          <w:tcPr>
            <w:tcW w:w="1880" w:type="dxa"/>
            <w:vAlign w:val="bottom"/>
            <w:tcBorders>
              <w:right w:val="single" w:sz="8" w:color="071D49"/>
            </w:tcBorders>
          </w:tcPr>
          <w:p>
            <w:pPr>
              <w:spacing w:after="0"/>
              <w:rPr>
                <w:sz w:val="14"/>
                <w:szCs w:val="14"/>
                <w:color w:val="auto"/>
              </w:rPr>
            </w:pPr>
          </w:p>
        </w:tc>
        <w:tc>
          <w:tcPr>
            <w:tcW w:w="1900" w:type="dxa"/>
            <w:vAlign w:val="bottom"/>
            <w:tcBorders>
              <w:right w:val="single" w:sz="8" w:color="071D49"/>
            </w:tcBorders>
          </w:tcPr>
          <w:p>
            <w:pPr>
              <w:spacing w:after="0"/>
              <w:rPr>
                <w:sz w:val="14"/>
                <w:szCs w:val="14"/>
                <w:color w:val="auto"/>
              </w:rPr>
            </w:pPr>
          </w:p>
        </w:tc>
        <w:tc>
          <w:tcPr>
            <w:tcW w:w="1300" w:type="dxa"/>
            <w:vAlign w:val="bottom"/>
          </w:tcPr>
          <w:p>
            <w:pPr>
              <w:spacing w:after="0"/>
              <w:rPr>
                <w:sz w:val="14"/>
                <w:szCs w:val="14"/>
                <w:color w:val="auto"/>
              </w:rPr>
            </w:pPr>
          </w:p>
        </w:tc>
      </w:tr>
      <w:tr>
        <w:trPr>
          <w:trHeight w:val="93"/>
        </w:trPr>
        <w:tc>
          <w:tcPr>
            <w:tcW w:w="1800" w:type="dxa"/>
            <w:vAlign w:val="bottom"/>
            <w:tcBorders>
              <w:right w:val="single" w:sz="8" w:color="071D49"/>
            </w:tcBorders>
          </w:tcPr>
          <w:p>
            <w:pPr>
              <w:spacing w:after="0"/>
              <w:rPr>
                <w:sz w:val="8"/>
                <w:szCs w:val="8"/>
                <w:color w:val="auto"/>
              </w:rPr>
            </w:pPr>
          </w:p>
        </w:tc>
        <w:tc>
          <w:tcPr>
            <w:tcW w:w="1880" w:type="dxa"/>
            <w:vAlign w:val="bottom"/>
            <w:tcBorders>
              <w:right w:val="single" w:sz="8" w:color="071D49"/>
            </w:tcBorders>
          </w:tcPr>
          <w:p>
            <w:pPr>
              <w:spacing w:after="0"/>
              <w:rPr>
                <w:sz w:val="8"/>
                <w:szCs w:val="8"/>
                <w:color w:val="auto"/>
              </w:rPr>
            </w:pPr>
          </w:p>
        </w:tc>
        <w:tc>
          <w:tcPr>
            <w:tcW w:w="1880" w:type="dxa"/>
            <w:vAlign w:val="bottom"/>
            <w:tcBorders>
              <w:right w:val="single" w:sz="8" w:color="071D49"/>
            </w:tcBorders>
          </w:tcPr>
          <w:p>
            <w:pPr>
              <w:spacing w:after="0"/>
              <w:rPr>
                <w:sz w:val="8"/>
                <w:szCs w:val="8"/>
                <w:color w:val="auto"/>
              </w:rPr>
            </w:pPr>
          </w:p>
        </w:tc>
        <w:tc>
          <w:tcPr>
            <w:tcW w:w="1900" w:type="dxa"/>
            <w:vAlign w:val="bottom"/>
            <w:tcBorders>
              <w:right w:val="single" w:sz="8" w:color="071D49"/>
            </w:tcBorders>
          </w:tcPr>
          <w:p>
            <w:pPr>
              <w:spacing w:after="0"/>
              <w:rPr>
                <w:sz w:val="8"/>
                <w:szCs w:val="8"/>
                <w:color w:val="auto"/>
              </w:rPr>
            </w:pPr>
          </w:p>
        </w:tc>
        <w:tc>
          <w:tcPr>
            <w:tcW w:w="1300" w:type="dxa"/>
            <w:vAlign w:val="bottom"/>
          </w:tcPr>
          <w:p>
            <w:pPr>
              <w:spacing w:after="0"/>
              <w:rPr>
                <w:sz w:val="8"/>
                <w:szCs w:val="8"/>
                <w:color w:val="auto"/>
              </w:rPr>
            </w:pPr>
          </w:p>
        </w:tc>
      </w:tr>
    </w:tbl>
    <w:p>
      <w:pPr>
        <w:spacing w:after="0" w:line="107"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Although we describe our programs in the context of the NEOs, it is important to note that our programs generally have broad eligibility and therefore in most cases apply to employee populations outside the NEO group as well. The content of this section is organized according to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7"/>
          </w:tcPr>
          <w:p>
            <w:pPr>
              <w:spacing w:after="0"/>
              <w:rPr>
                <w:rFonts w:ascii="Arial" w:cs="Arial" w:eastAsia="Arial" w:hAnsi="Arial"/>
                <w:sz w:val="20"/>
                <w:szCs w:val="20"/>
                <w:b w:val="1"/>
                <w:bCs w:val="1"/>
                <w:color w:val="0000EE"/>
              </w:rPr>
            </w:pPr>
            <w:hyperlink w:anchor="page35">
              <w:r>
                <w:rPr>
                  <w:rFonts w:ascii="Arial" w:cs="Arial" w:eastAsia="Arial" w:hAnsi="Arial"/>
                  <w:sz w:val="20"/>
                  <w:szCs w:val="20"/>
                  <w:b w:val="1"/>
                  <w:bCs w:val="1"/>
                  <w:color w:val="0000EE"/>
                </w:rPr>
                <w:t>EXECUTIVE SUMMARY</w:t>
              </w:r>
            </w:hyperlink>
          </w:p>
        </w:tc>
        <w:tc>
          <w:tcPr>
            <w:tcW w:w="96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071D49"/>
              </w:rPr>
              <w:t>32</w:t>
            </w:r>
          </w:p>
        </w:tc>
        <w:tc>
          <w:tcPr>
            <w:tcW w:w="3820" w:type="dxa"/>
            <w:vAlign w:val="bottom"/>
            <w:gridSpan w:val="8"/>
          </w:tcPr>
          <w:p>
            <w:pPr>
              <w:spacing w:after="0"/>
              <w:rPr>
                <w:rFonts w:ascii="Arial" w:cs="Arial" w:eastAsia="Arial" w:hAnsi="Arial"/>
                <w:sz w:val="20"/>
                <w:szCs w:val="20"/>
                <w:b w:val="1"/>
                <w:bCs w:val="1"/>
                <w:color w:val="0000EE"/>
              </w:rPr>
            </w:pPr>
            <w:hyperlink w:anchor="page45">
              <w:r>
                <w:rPr>
                  <w:rFonts w:ascii="Arial" w:cs="Arial" w:eastAsia="Arial" w:hAnsi="Arial"/>
                  <w:sz w:val="20"/>
                  <w:szCs w:val="20"/>
                  <w:b w:val="1"/>
                  <w:bCs w:val="1"/>
                  <w:color w:val="0000EE"/>
                </w:rPr>
                <w:t>COMPENSATION PLAN ELEMENTS</w:t>
              </w:r>
            </w:hyperlink>
          </w:p>
        </w:tc>
        <w:tc>
          <w:tcPr>
            <w:tcW w:w="720" w:type="dxa"/>
            <w:vAlign w:val="bottom"/>
          </w:tcPr>
          <w:p>
            <w:pPr>
              <w:jc w:val="right"/>
              <w:spacing w:after="0"/>
              <w:rPr>
                <w:sz w:val="20"/>
                <w:szCs w:val="20"/>
                <w:color w:val="auto"/>
              </w:rPr>
            </w:pPr>
            <w:r>
              <w:rPr>
                <w:rFonts w:ascii="Arial" w:cs="Arial" w:eastAsia="Arial" w:hAnsi="Arial"/>
                <w:sz w:val="20"/>
                <w:szCs w:val="20"/>
                <w:b w:val="1"/>
                <w:bCs w:val="1"/>
                <w:color w:val="071D49"/>
              </w:rPr>
              <w:t>42</w:t>
            </w:r>
          </w:p>
        </w:tc>
      </w:tr>
      <w:tr>
        <w:trPr>
          <w:trHeight w:val="20"/>
        </w:trPr>
        <w:tc>
          <w:tcPr>
            <w:tcW w:w="1520" w:type="dxa"/>
            <w:vAlign w:val="bottom"/>
            <w:tcBorders>
              <w:top w:val="single" w:sz="8" w:color="0000EE"/>
              <w:bottom w:val="single" w:sz="8" w:color="071D49"/>
            </w:tcBorders>
          </w:tcPr>
          <w:p>
            <w:pPr>
              <w:spacing w:after="0" w:line="20" w:lineRule="exact"/>
              <w:rPr>
                <w:sz w:val="1"/>
                <w:szCs w:val="1"/>
                <w:color w:val="auto"/>
              </w:rPr>
            </w:pPr>
          </w:p>
        </w:tc>
        <w:tc>
          <w:tcPr>
            <w:tcW w:w="500" w:type="dxa"/>
            <w:vAlign w:val="bottom"/>
            <w:tcBorders>
              <w:top w:val="single" w:sz="8" w:color="0000EE"/>
              <w:bottom w:val="single" w:sz="8" w:color="071D49"/>
            </w:tcBorders>
          </w:tcPr>
          <w:p>
            <w:pPr>
              <w:spacing w:after="0" w:line="20" w:lineRule="exact"/>
              <w:rPr>
                <w:sz w:val="1"/>
                <w:szCs w:val="1"/>
                <w:color w:val="auto"/>
              </w:rPr>
            </w:pPr>
          </w:p>
        </w:tc>
        <w:tc>
          <w:tcPr>
            <w:tcW w:w="100" w:type="dxa"/>
            <w:vAlign w:val="bottom"/>
            <w:tcBorders>
              <w:top w:val="single" w:sz="8" w:color="0000EE"/>
              <w:bottom w:val="single" w:sz="8" w:color="071D49"/>
            </w:tcBorders>
          </w:tcPr>
          <w:p>
            <w:pPr>
              <w:spacing w:after="0" w:line="20" w:lineRule="exact"/>
              <w:rPr>
                <w:sz w:val="1"/>
                <w:szCs w:val="1"/>
                <w:color w:val="auto"/>
              </w:rPr>
            </w:pPr>
          </w:p>
        </w:tc>
        <w:tc>
          <w:tcPr>
            <w:tcW w:w="60" w:type="dxa"/>
            <w:vAlign w:val="bottom"/>
            <w:tcBorders>
              <w:top w:val="single" w:sz="8" w:color="0000EE"/>
              <w:bottom w:val="single" w:sz="8" w:color="071D49"/>
            </w:tcBorders>
          </w:tcPr>
          <w:p>
            <w:pPr>
              <w:spacing w:after="0" w:line="20" w:lineRule="exact"/>
              <w:rPr>
                <w:sz w:val="1"/>
                <w:szCs w:val="1"/>
                <w:color w:val="auto"/>
              </w:rPr>
            </w:pPr>
          </w:p>
        </w:tc>
        <w:tc>
          <w:tcPr>
            <w:tcW w:w="460" w:type="dxa"/>
            <w:vAlign w:val="bottom"/>
            <w:tcBorders>
              <w:bottom w:val="single" w:sz="8" w:color="071D49"/>
            </w:tcBorders>
          </w:tcPr>
          <w:p>
            <w:pPr>
              <w:spacing w:after="0" w:line="20" w:lineRule="exact"/>
              <w:rPr>
                <w:sz w:val="1"/>
                <w:szCs w:val="1"/>
                <w:color w:val="auto"/>
              </w:rPr>
            </w:pPr>
          </w:p>
        </w:tc>
        <w:tc>
          <w:tcPr>
            <w:tcW w:w="84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720" w:type="dxa"/>
            <w:vAlign w:val="bottom"/>
            <w:tcBorders>
              <w:bottom w:val="single" w:sz="8" w:color="071D49"/>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bottom w:val="single" w:sz="8" w:color="071D49"/>
            </w:tcBorders>
          </w:tcPr>
          <w:p>
            <w:pPr>
              <w:spacing w:after="0" w:line="20" w:lineRule="exact"/>
              <w:rPr>
                <w:sz w:val="1"/>
                <w:szCs w:val="1"/>
                <w:color w:val="auto"/>
              </w:rPr>
            </w:pPr>
          </w:p>
        </w:tc>
        <w:tc>
          <w:tcPr>
            <w:tcW w:w="320" w:type="dxa"/>
            <w:vAlign w:val="bottom"/>
            <w:tcBorders>
              <w:top w:val="single" w:sz="8" w:color="0000EE"/>
              <w:bottom w:val="single" w:sz="8" w:color="071D49"/>
            </w:tcBorders>
          </w:tcPr>
          <w:p>
            <w:pPr>
              <w:spacing w:after="0" w:line="20" w:lineRule="exact"/>
              <w:rPr>
                <w:sz w:val="1"/>
                <w:szCs w:val="1"/>
                <w:color w:val="auto"/>
              </w:rPr>
            </w:pPr>
          </w:p>
        </w:tc>
        <w:tc>
          <w:tcPr>
            <w:tcW w:w="760" w:type="dxa"/>
            <w:vAlign w:val="bottom"/>
            <w:tcBorders>
              <w:top w:val="single" w:sz="8" w:color="0000EE"/>
              <w:bottom w:val="single" w:sz="8" w:color="071D49"/>
            </w:tcBorders>
          </w:tcPr>
          <w:p>
            <w:pPr>
              <w:spacing w:after="0" w:line="20" w:lineRule="exact"/>
              <w:rPr>
                <w:sz w:val="1"/>
                <w:szCs w:val="1"/>
                <w:color w:val="auto"/>
              </w:rPr>
            </w:pPr>
          </w:p>
        </w:tc>
        <w:tc>
          <w:tcPr>
            <w:tcW w:w="40" w:type="dxa"/>
            <w:vAlign w:val="bottom"/>
            <w:tcBorders>
              <w:top w:val="single" w:sz="8" w:color="0000EE"/>
              <w:bottom w:val="single" w:sz="8" w:color="071D49"/>
            </w:tcBorders>
          </w:tcPr>
          <w:p>
            <w:pPr>
              <w:spacing w:after="0" w:line="20" w:lineRule="exact"/>
              <w:rPr>
                <w:sz w:val="1"/>
                <w:szCs w:val="1"/>
                <w:color w:val="auto"/>
              </w:rPr>
            </w:pPr>
          </w:p>
        </w:tc>
        <w:tc>
          <w:tcPr>
            <w:tcW w:w="260" w:type="dxa"/>
            <w:vAlign w:val="bottom"/>
            <w:tcBorders>
              <w:top w:val="single" w:sz="8" w:color="0000EE"/>
              <w:bottom w:val="single" w:sz="8" w:color="071D49"/>
            </w:tcBorders>
          </w:tcPr>
          <w:p>
            <w:pPr>
              <w:spacing w:after="0" w:line="20" w:lineRule="exact"/>
              <w:rPr>
                <w:sz w:val="1"/>
                <w:szCs w:val="1"/>
                <w:color w:val="auto"/>
              </w:rPr>
            </w:pPr>
          </w:p>
        </w:tc>
        <w:tc>
          <w:tcPr>
            <w:tcW w:w="440" w:type="dxa"/>
            <w:vAlign w:val="bottom"/>
            <w:tcBorders>
              <w:top w:val="single" w:sz="8" w:color="0000EE"/>
              <w:bottom w:val="single" w:sz="8" w:color="071D49"/>
            </w:tcBorders>
          </w:tcPr>
          <w:p>
            <w:pPr>
              <w:spacing w:after="0" w:line="20" w:lineRule="exact"/>
              <w:rPr>
                <w:sz w:val="1"/>
                <w:szCs w:val="1"/>
                <w:color w:val="auto"/>
              </w:rPr>
            </w:pPr>
          </w:p>
        </w:tc>
        <w:tc>
          <w:tcPr>
            <w:tcW w:w="860" w:type="dxa"/>
            <w:vAlign w:val="bottom"/>
            <w:tcBorders>
              <w:top w:val="single" w:sz="8" w:color="0000EE"/>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720" w:type="dxa"/>
            <w:vAlign w:val="bottom"/>
            <w:tcBorders>
              <w:bottom w:val="single" w:sz="8" w:color="071D49"/>
            </w:tcBorders>
          </w:tcPr>
          <w:p>
            <w:pPr>
              <w:spacing w:after="0" w:line="20" w:lineRule="exact"/>
              <w:rPr>
                <w:sz w:val="1"/>
                <w:szCs w:val="1"/>
                <w:color w:val="auto"/>
              </w:rPr>
            </w:pPr>
          </w:p>
        </w:tc>
      </w:tr>
      <w:tr>
        <w:trPr>
          <w:trHeight w:val="169"/>
        </w:trPr>
        <w:tc>
          <w:tcPr>
            <w:tcW w:w="3740" w:type="dxa"/>
            <w:vAlign w:val="bottom"/>
            <w:gridSpan w:val="7"/>
          </w:tcPr>
          <w:p>
            <w:pPr>
              <w:spacing w:after="0" w:line="170" w:lineRule="exact"/>
              <w:rPr>
                <w:rFonts w:ascii="Arial" w:cs="Arial" w:eastAsia="Arial" w:hAnsi="Arial"/>
                <w:sz w:val="18"/>
                <w:szCs w:val="18"/>
                <w:color w:val="0000EE"/>
              </w:rPr>
            </w:pPr>
            <w:hyperlink w:anchor="page35">
              <w:r>
                <w:rPr>
                  <w:rFonts w:ascii="Arial" w:cs="Arial" w:eastAsia="Arial" w:hAnsi="Arial"/>
                  <w:sz w:val="18"/>
                  <w:szCs w:val="18"/>
                  <w:color w:val="0000EE"/>
                </w:rPr>
                <w:t>Compensation Philosophy</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4"/>
                <w:szCs w:val="14"/>
                <w:color w:val="auto"/>
              </w:rPr>
            </w:pPr>
          </w:p>
        </w:tc>
        <w:tc>
          <w:tcPr>
            <w:tcW w:w="3820" w:type="dxa"/>
            <w:vAlign w:val="bottom"/>
            <w:gridSpan w:val="8"/>
          </w:tcPr>
          <w:p>
            <w:pPr>
              <w:spacing w:after="0" w:line="170" w:lineRule="exact"/>
              <w:rPr>
                <w:rFonts w:ascii="Arial" w:cs="Arial" w:eastAsia="Arial" w:hAnsi="Arial"/>
                <w:sz w:val="18"/>
                <w:szCs w:val="18"/>
                <w:color w:val="0000EE"/>
              </w:rPr>
            </w:pPr>
            <w:hyperlink w:anchor="page45">
              <w:r>
                <w:rPr>
                  <w:rFonts w:ascii="Arial" w:cs="Arial" w:eastAsia="Arial" w:hAnsi="Arial"/>
                  <w:sz w:val="18"/>
                  <w:szCs w:val="18"/>
                  <w:color w:val="0000EE"/>
                </w:rPr>
                <w:t>Base Salary</w:t>
              </w:r>
            </w:hyperlink>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42</w:t>
            </w:r>
          </w:p>
        </w:tc>
      </w:tr>
      <w:tr>
        <w:trPr>
          <w:trHeight w:val="20"/>
        </w:trPr>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2020" w:type="dxa"/>
            <w:vAlign w:val="bottom"/>
            <w:gridSpan w:val="2"/>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Business Overview</w:t>
              </w:r>
            </w:hyperlink>
          </w:p>
        </w:tc>
        <w:tc>
          <w:tcPr>
            <w:tcW w:w="1720" w:type="dxa"/>
            <w:vAlign w:val="bottom"/>
            <w:gridSpan w:val="5"/>
          </w:tcPr>
          <w:p>
            <w:pPr>
              <w:spacing w:after="0"/>
              <w:rPr>
                <w:sz w:val="15"/>
                <w:szCs w:val="15"/>
                <w:color w:val="auto"/>
              </w:rPr>
            </w:pP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32</w:t>
            </w:r>
          </w:p>
        </w:tc>
        <w:tc>
          <w:tcPr>
            <w:tcW w:w="3820" w:type="dxa"/>
            <w:vAlign w:val="bottom"/>
            <w:gridSpan w:val="8"/>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Short-Term Incentives</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1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740" w:type="dxa"/>
            <w:vAlign w:val="bottom"/>
            <w:gridSpan w:val="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Business Performance Highlights</w:t>
              </w:r>
            </w:hyperlink>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33</w:t>
            </w:r>
          </w:p>
        </w:tc>
        <w:tc>
          <w:tcPr>
            <w:tcW w:w="3820" w:type="dxa"/>
            <w:vAlign w:val="bottom"/>
            <w:gridSpan w:val="8"/>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Long-Term Incentives</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480" w:type="dxa"/>
            <w:vAlign w:val="bottom"/>
            <w:gridSpan w:val="6"/>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Components of our Compensation Program</w:t>
              </w:r>
            </w:hyperlink>
          </w:p>
        </w:tc>
        <w:tc>
          <w:tcPr>
            <w:tcW w:w="260" w:type="dxa"/>
            <w:vAlign w:val="bottom"/>
          </w:tcPr>
          <w:p>
            <w:pPr>
              <w:spacing w:after="0"/>
              <w:rPr>
                <w:sz w:val="15"/>
                <w:szCs w:val="15"/>
                <w:color w:val="auto"/>
              </w:rPr>
            </w:pP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37</w:t>
            </w:r>
          </w:p>
        </w:tc>
        <w:tc>
          <w:tcPr>
            <w:tcW w:w="3820" w:type="dxa"/>
            <w:vAlign w:val="bottom"/>
            <w:gridSpan w:val="8"/>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Benefits</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480" w:type="dxa"/>
            <w:vAlign w:val="bottom"/>
            <w:gridSpan w:val="6"/>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2021 Performance Results</w:t>
              </w:r>
            </w:hyperlink>
          </w:p>
        </w:tc>
        <w:tc>
          <w:tcPr>
            <w:tcW w:w="260" w:type="dxa"/>
            <w:vAlign w:val="bottom"/>
          </w:tcPr>
          <w:p>
            <w:pPr>
              <w:spacing w:after="0"/>
              <w:rPr>
                <w:sz w:val="15"/>
                <w:szCs w:val="15"/>
                <w:color w:val="auto"/>
              </w:rPr>
            </w:pP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37</w:t>
            </w:r>
          </w:p>
        </w:tc>
        <w:tc>
          <w:tcPr>
            <w:tcW w:w="3820" w:type="dxa"/>
            <w:vAlign w:val="bottom"/>
            <w:gridSpan w:val="8"/>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Employment Agreements</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2020" w:type="dxa"/>
            <w:vAlign w:val="bottom"/>
            <w:tcBorders>
              <w:top w:val="single" w:sz="8" w:color="0000EE"/>
            </w:tcBorders>
            <w:gridSpan w:val="2"/>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Stockholder Engagement</w:t>
              </w:r>
            </w:hyperlink>
          </w:p>
        </w:tc>
        <w:tc>
          <w:tcPr>
            <w:tcW w:w="100" w:type="dxa"/>
            <w:vAlign w:val="bottom"/>
            <w:tcBorders>
              <w:top w:val="single" w:sz="8" w:color="0000EE"/>
            </w:tcBorders>
          </w:tcPr>
          <w:p>
            <w:pPr>
              <w:spacing w:after="0"/>
              <w:rPr>
                <w:sz w:val="15"/>
                <w:szCs w:val="15"/>
                <w:color w:val="auto"/>
              </w:rPr>
            </w:pPr>
          </w:p>
        </w:tc>
        <w:tc>
          <w:tcPr>
            <w:tcW w:w="1620" w:type="dxa"/>
            <w:vAlign w:val="bottom"/>
            <w:gridSpan w:val="4"/>
          </w:tcPr>
          <w:p>
            <w:pPr>
              <w:spacing w:after="0"/>
              <w:rPr>
                <w:sz w:val="15"/>
                <w:szCs w:val="15"/>
                <w:color w:val="auto"/>
              </w:rPr>
            </w:pPr>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39</w:t>
            </w:r>
          </w:p>
        </w:tc>
        <w:tc>
          <w:tcPr>
            <w:tcW w:w="20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Excise Tax Gross-Ups</w:t>
              </w:r>
            </w:hyperlink>
          </w:p>
        </w:tc>
        <w:tc>
          <w:tcPr>
            <w:tcW w:w="1800" w:type="dxa"/>
            <w:vAlign w:val="bottom"/>
            <w:gridSpan w:val="3"/>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3"/>
        </w:trPr>
        <w:tc>
          <w:tcPr>
            <w:tcW w:w="3740" w:type="dxa"/>
            <w:vAlign w:val="bottom"/>
            <w:gridSpan w:val="7"/>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Compensation Program Governance Summary</w:t>
              </w:r>
            </w:hyperlink>
          </w:p>
        </w:tc>
        <w:tc>
          <w:tcPr>
            <w:tcW w:w="9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40</w:t>
            </w:r>
          </w:p>
        </w:tc>
        <w:tc>
          <w:tcPr>
            <w:tcW w:w="3820" w:type="dxa"/>
            <w:vAlign w:val="bottom"/>
            <w:gridSpan w:val="8"/>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Change in Control Agreements</w:t>
              </w:r>
            </w:hyperlink>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7"/>
          </w:tcPr>
          <w:p>
            <w:pPr>
              <w:spacing w:after="0"/>
              <w:rPr>
                <w:rFonts w:ascii="Arial" w:cs="Arial" w:eastAsia="Arial" w:hAnsi="Arial"/>
                <w:sz w:val="20"/>
                <w:szCs w:val="20"/>
                <w:b w:val="1"/>
                <w:bCs w:val="1"/>
                <w:color w:val="0000EE"/>
              </w:rPr>
            </w:pPr>
            <w:hyperlink w:anchor="page44">
              <w:r>
                <w:rPr>
                  <w:rFonts w:ascii="Arial" w:cs="Arial" w:eastAsia="Arial" w:hAnsi="Arial"/>
                  <w:sz w:val="20"/>
                  <w:szCs w:val="20"/>
                  <w:b w:val="1"/>
                  <w:bCs w:val="1"/>
                  <w:color w:val="0000EE"/>
                </w:rPr>
                <w:t>EXECUTIVE COMPENSATION PROCESS</w:t>
              </w:r>
            </w:hyperlink>
          </w:p>
        </w:tc>
        <w:tc>
          <w:tcPr>
            <w:tcW w:w="540" w:type="dxa"/>
            <w:vAlign w:val="bottom"/>
            <w:gridSpan w:val="2"/>
          </w:tcPr>
          <w:p>
            <w:pPr>
              <w:jc w:val="right"/>
              <w:ind w:right="240"/>
              <w:spacing w:after="0"/>
              <w:rPr>
                <w:sz w:val="20"/>
                <w:szCs w:val="20"/>
                <w:color w:val="auto"/>
              </w:rPr>
            </w:pPr>
            <w:r>
              <w:rPr>
                <w:rFonts w:ascii="Arial" w:cs="Arial" w:eastAsia="Arial" w:hAnsi="Arial"/>
                <w:sz w:val="20"/>
                <w:szCs w:val="20"/>
                <w:b w:val="1"/>
                <w:bCs w:val="1"/>
                <w:color w:val="071D49"/>
              </w:rPr>
              <w:t>41</w:t>
            </w:r>
          </w:p>
        </w:tc>
        <w:tc>
          <w:tcPr>
            <w:tcW w:w="3760" w:type="dxa"/>
            <w:vAlign w:val="bottom"/>
            <w:gridSpan w:val="5"/>
          </w:tcPr>
          <w:p>
            <w:pPr>
              <w:spacing w:after="0"/>
              <w:rPr>
                <w:rFonts w:ascii="Arial" w:cs="Arial" w:eastAsia="Arial" w:hAnsi="Arial"/>
                <w:sz w:val="20"/>
                <w:szCs w:val="20"/>
                <w:b w:val="1"/>
                <w:bCs w:val="1"/>
                <w:color w:val="0000EE"/>
              </w:rPr>
            </w:pPr>
            <w:hyperlink w:anchor="page51">
              <w:r>
                <w:rPr>
                  <w:rFonts w:ascii="Arial" w:cs="Arial" w:eastAsia="Arial" w:hAnsi="Arial"/>
                  <w:sz w:val="20"/>
                  <w:szCs w:val="20"/>
                  <w:b w:val="1"/>
                  <w:bCs w:val="1"/>
                  <w:color w:val="0000EE"/>
                </w:rPr>
                <w:t>OTHER MATTERS</w:t>
              </w:r>
            </w:hyperlink>
          </w:p>
        </w:tc>
        <w:tc>
          <w:tcPr>
            <w:tcW w:w="780" w:type="dxa"/>
            <w:vAlign w:val="bottom"/>
          </w:tcPr>
          <w:p>
            <w:pPr>
              <w:jc w:val="right"/>
              <w:spacing w:after="0"/>
              <w:rPr>
                <w:sz w:val="20"/>
                <w:szCs w:val="20"/>
                <w:color w:val="auto"/>
              </w:rPr>
            </w:pPr>
            <w:r>
              <w:rPr>
                <w:rFonts w:ascii="Arial" w:cs="Arial" w:eastAsia="Arial" w:hAnsi="Arial"/>
                <w:sz w:val="20"/>
                <w:szCs w:val="20"/>
                <w:b w:val="1"/>
                <w:bCs w:val="1"/>
                <w:color w:val="071D49"/>
              </w:rPr>
              <w:t>48</w:t>
            </w:r>
          </w:p>
        </w:tc>
      </w:tr>
      <w:tr>
        <w:trPr>
          <w:trHeight w:val="20"/>
        </w:trPr>
        <w:tc>
          <w:tcPr>
            <w:tcW w:w="2360" w:type="dxa"/>
            <w:vAlign w:val="bottom"/>
            <w:tcBorders>
              <w:top w:val="single" w:sz="8" w:color="0000EE"/>
              <w:bottom w:val="single" w:sz="8" w:color="071D49"/>
            </w:tcBorders>
          </w:tcPr>
          <w:p>
            <w:pPr>
              <w:spacing w:after="0" w:line="20" w:lineRule="exact"/>
              <w:rPr>
                <w:sz w:val="1"/>
                <w:szCs w:val="1"/>
                <w:color w:val="auto"/>
              </w:rPr>
            </w:pPr>
          </w:p>
        </w:tc>
        <w:tc>
          <w:tcPr>
            <w:tcW w:w="20" w:type="dxa"/>
            <w:vAlign w:val="bottom"/>
            <w:tcBorders>
              <w:top w:val="single" w:sz="8" w:color="0000EE"/>
              <w:bottom w:val="single" w:sz="8" w:color="071D49"/>
            </w:tcBorders>
          </w:tcPr>
          <w:p>
            <w:pPr>
              <w:spacing w:after="0" w:line="20" w:lineRule="exact"/>
              <w:rPr>
                <w:sz w:val="1"/>
                <w:szCs w:val="1"/>
                <w:color w:val="auto"/>
              </w:rPr>
            </w:pPr>
          </w:p>
        </w:tc>
        <w:tc>
          <w:tcPr>
            <w:tcW w:w="600" w:type="dxa"/>
            <w:vAlign w:val="bottom"/>
            <w:tcBorders>
              <w:top w:val="single" w:sz="8" w:color="0000EE"/>
              <w:bottom w:val="single" w:sz="8" w:color="071D49"/>
            </w:tcBorders>
          </w:tcPr>
          <w:p>
            <w:pPr>
              <w:spacing w:after="0" w:line="20" w:lineRule="exact"/>
              <w:rPr>
                <w:sz w:val="1"/>
                <w:szCs w:val="1"/>
                <w:color w:val="auto"/>
              </w:rPr>
            </w:pPr>
          </w:p>
        </w:tc>
        <w:tc>
          <w:tcPr>
            <w:tcW w:w="540" w:type="dxa"/>
            <w:vAlign w:val="bottom"/>
            <w:tcBorders>
              <w:top w:val="single" w:sz="8" w:color="0000EE"/>
              <w:bottom w:val="single" w:sz="8" w:color="071D49"/>
            </w:tcBorders>
          </w:tcPr>
          <w:p>
            <w:pPr>
              <w:spacing w:after="0" w:line="20" w:lineRule="exact"/>
              <w:rPr>
                <w:sz w:val="1"/>
                <w:szCs w:val="1"/>
                <w:color w:val="auto"/>
              </w:rPr>
            </w:pPr>
          </w:p>
        </w:tc>
        <w:tc>
          <w:tcPr>
            <w:tcW w:w="280" w:type="dxa"/>
            <w:vAlign w:val="bottom"/>
            <w:tcBorders>
              <w:top w:val="single" w:sz="8" w:color="0000EE"/>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300" w:type="dxa"/>
            <w:vAlign w:val="bottom"/>
            <w:tcBorders>
              <w:bottom w:val="single" w:sz="8" w:color="071D49"/>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0000EE"/>
              <w:bottom w:val="single" w:sz="8" w:color="071D49"/>
            </w:tcBorders>
          </w:tcPr>
          <w:p>
            <w:pPr>
              <w:spacing w:after="0" w:line="20" w:lineRule="exact"/>
              <w:rPr>
                <w:sz w:val="1"/>
                <w:szCs w:val="1"/>
                <w:color w:val="auto"/>
              </w:rPr>
            </w:pPr>
          </w:p>
        </w:tc>
        <w:tc>
          <w:tcPr>
            <w:tcW w:w="380" w:type="dxa"/>
            <w:vAlign w:val="bottom"/>
            <w:tcBorders>
              <w:top w:val="single" w:sz="8" w:color="0000EE"/>
              <w:bottom w:val="single" w:sz="8" w:color="071D49"/>
            </w:tcBorders>
          </w:tcPr>
          <w:p>
            <w:pPr>
              <w:spacing w:after="0" w:line="20" w:lineRule="exact"/>
              <w:rPr>
                <w:sz w:val="1"/>
                <w:szCs w:val="1"/>
                <w:color w:val="auto"/>
              </w:rPr>
            </w:pPr>
          </w:p>
        </w:tc>
        <w:tc>
          <w:tcPr>
            <w:tcW w:w="580" w:type="dxa"/>
            <w:vAlign w:val="bottom"/>
            <w:tcBorders>
              <w:bottom w:val="single" w:sz="8" w:color="071D49"/>
            </w:tcBorders>
          </w:tcPr>
          <w:p>
            <w:pPr>
              <w:spacing w:after="0" w:line="20" w:lineRule="exact"/>
              <w:rPr>
                <w:sz w:val="1"/>
                <w:szCs w:val="1"/>
                <w:color w:val="auto"/>
              </w:rPr>
            </w:pPr>
          </w:p>
        </w:tc>
        <w:tc>
          <w:tcPr>
            <w:tcW w:w="920" w:type="dxa"/>
            <w:vAlign w:val="bottom"/>
            <w:tcBorders>
              <w:bottom w:val="single" w:sz="8" w:color="071D49"/>
            </w:tcBorders>
          </w:tcPr>
          <w:p>
            <w:pPr>
              <w:spacing w:after="0" w:line="20" w:lineRule="exact"/>
              <w:rPr>
                <w:sz w:val="1"/>
                <w:szCs w:val="1"/>
                <w:color w:val="auto"/>
              </w:rPr>
            </w:pPr>
          </w:p>
        </w:tc>
        <w:tc>
          <w:tcPr>
            <w:tcW w:w="580" w:type="dxa"/>
            <w:vAlign w:val="bottom"/>
            <w:tcBorders>
              <w:bottom w:val="single" w:sz="8" w:color="071D49"/>
            </w:tcBorders>
          </w:tcPr>
          <w:p>
            <w:pPr>
              <w:spacing w:after="0" w:line="20" w:lineRule="exact"/>
              <w:rPr>
                <w:sz w:val="1"/>
                <w:szCs w:val="1"/>
                <w:color w:val="auto"/>
              </w:rPr>
            </w:pPr>
          </w:p>
        </w:tc>
        <w:tc>
          <w:tcPr>
            <w:tcW w:w="780" w:type="dxa"/>
            <w:vAlign w:val="bottom"/>
            <w:tcBorders>
              <w:bottom w:val="single" w:sz="8" w:color="071D49"/>
            </w:tcBorders>
          </w:tcPr>
          <w:p>
            <w:pPr>
              <w:spacing w:after="0" w:line="20" w:lineRule="exact"/>
              <w:rPr>
                <w:sz w:val="1"/>
                <w:szCs w:val="1"/>
                <w:color w:val="auto"/>
              </w:rPr>
            </w:pPr>
          </w:p>
        </w:tc>
      </w:tr>
      <w:tr>
        <w:trPr>
          <w:trHeight w:val="170"/>
        </w:trPr>
        <w:tc>
          <w:tcPr>
            <w:tcW w:w="3520" w:type="dxa"/>
            <w:vAlign w:val="bottom"/>
            <w:tcBorders>
              <w:bottom w:val="single" w:sz="8" w:color="0000EE"/>
            </w:tcBorders>
            <w:gridSpan w:val="4"/>
          </w:tcPr>
          <w:p>
            <w:pPr>
              <w:spacing w:after="0" w:line="170"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Commitment to Performance-Based Awards</w:t>
              </w:r>
            </w:hyperlink>
          </w:p>
        </w:tc>
        <w:tc>
          <w:tcPr>
            <w:tcW w:w="640" w:type="dxa"/>
            <w:vAlign w:val="bottom"/>
            <w:gridSpan w:val="3"/>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4"/>
                <w:szCs w:val="14"/>
                <w:color w:val="auto"/>
              </w:rPr>
            </w:pPr>
          </w:p>
        </w:tc>
        <w:tc>
          <w:tcPr>
            <w:tcW w:w="2260" w:type="dxa"/>
            <w:vAlign w:val="bottom"/>
            <w:tcBorders>
              <w:bottom w:val="single" w:sz="8" w:color="0000EE"/>
            </w:tcBorders>
            <w:gridSpan w:val="3"/>
          </w:tcPr>
          <w:p>
            <w:pPr>
              <w:spacing w:after="0" w:line="170"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Stock Ownership Guidelines</w:t>
              </w:r>
            </w:hyperlink>
          </w:p>
        </w:tc>
        <w:tc>
          <w:tcPr>
            <w:tcW w:w="1500" w:type="dxa"/>
            <w:vAlign w:val="bottom"/>
            <w:gridSpan w:val="2"/>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48</w:t>
            </w:r>
          </w:p>
        </w:tc>
      </w:tr>
      <w:tr>
        <w:trPr>
          <w:trHeight w:val="183"/>
        </w:trPr>
        <w:tc>
          <w:tcPr>
            <w:tcW w:w="4080" w:type="dxa"/>
            <w:vAlign w:val="bottom"/>
            <w:gridSpan w:val="6"/>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Committee Process for Setting Total Compensation</w:t>
              </w:r>
            </w:hyperlink>
          </w:p>
        </w:tc>
        <w:tc>
          <w:tcPr>
            <w:tcW w:w="80" w:type="dxa"/>
            <w:vAlign w:val="bottom"/>
          </w:tcPr>
          <w:p>
            <w:pPr>
              <w:spacing w:after="0"/>
              <w:rPr>
                <w:sz w:val="15"/>
                <w:szCs w:val="15"/>
                <w:color w:val="auto"/>
              </w:rPr>
            </w:pPr>
          </w:p>
        </w:tc>
        <w:tc>
          <w:tcPr>
            <w:tcW w:w="5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41</w:t>
            </w:r>
          </w:p>
        </w:tc>
        <w:tc>
          <w:tcPr>
            <w:tcW w:w="3760" w:type="dxa"/>
            <w:vAlign w:val="bottom"/>
            <w:gridSpan w:val="5"/>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Clawback Policy</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2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83"/>
        </w:trPr>
        <w:tc>
          <w:tcPr>
            <w:tcW w:w="236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Compensation Benchmarking</w:t>
              </w:r>
            </w:hyperlink>
          </w:p>
        </w:tc>
        <w:tc>
          <w:tcPr>
            <w:tcW w:w="172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41</w:t>
            </w:r>
          </w:p>
        </w:tc>
        <w:tc>
          <w:tcPr>
            <w:tcW w:w="31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Anti-Hedging and Anti-Pledging Policies</w:t>
              </w:r>
            </w:hyperlink>
          </w:p>
        </w:tc>
        <w:tc>
          <w:tcPr>
            <w:tcW w:w="5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4160" w:type="dxa"/>
            <w:vAlign w:val="bottom"/>
            <w:gridSpan w:val="7"/>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Role of the Compensation Consultant</w:t>
              </w:r>
            </w:hyperlink>
          </w:p>
        </w:tc>
        <w:tc>
          <w:tcPr>
            <w:tcW w:w="5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41</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23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Compensation Risk Oversight</w:t>
              </w:r>
            </w:hyperlink>
          </w:p>
        </w:tc>
        <w:tc>
          <w:tcPr>
            <w:tcW w:w="600" w:type="dxa"/>
            <w:vAlign w:val="bottom"/>
            <w:tcBorders>
              <w:top w:val="single" w:sz="8" w:color="0000EE"/>
            </w:tcBorders>
          </w:tcPr>
          <w:p>
            <w:pPr>
              <w:spacing w:after="0"/>
              <w:rPr>
                <w:sz w:val="15"/>
                <w:szCs w:val="15"/>
                <w:color w:val="auto"/>
              </w:rPr>
            </w:pPr>
          </w:p>
        </w:tc>
        <w:tc>
          <w:tcPr>
            <w:tcW w:w="1180" w:type="dxa"/>
            <w:vAlign w:val="bottom"/>
            <w:gridSpan w:val="4"/>
          </w:tcPr>
          <w:p>
            <w:pPr>
              <w:spacing w:after="0"/>
              <w:rPr>
                <w:sz w:val="15"/>
                <w:szCs w:val="15"/>
                <w:color w:val="auto"/>
              </w:rPr>
            </w:pPr>
          </w:p>
        </w:tc>
        <w:tc>
          <w:tcPr>
            <w:tcW w:w="54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42</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34" w:name="page35"/>
    <w:bookmarkEnd w:id="3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71D49"/>
        </w:rPr>
        <w:t>Executive Summary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PHILOSOPHY</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believe that a well-designed compensation program should:</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640" w:type="dxa"/>
            <w:vAlign w:val="bottom"/>
            <w:tcBorders>
              <w:top w:val="single" w:sz="8" w:color="071D49"/>
              <w:left w:val="single" w:sz="8" w:color="071D49"/>
            </w:tcBorders>
            <w:vMerge w:val="restart"/>
          </w:tcPr>
          <w:p>
            <w:pPr>
              <w:jc w:val="right"/>
              <w:spacing w:after="0"/>
              <w:rPr>
                <w:sz w:val="20"/>
                <w:szCs w:val="20"/>
                <w:color w:val="auto"/>
              </w:rPr>
            </w:pPr>
            <w:r>
              <w:rPr>
                <w:rFonts w:ascii="Arial" w:cs="Arial" w:eastAsia="Arial" w:hAnsi="Arial"/>
                <w:sz w:val="65"/>
                <w:szCs w:val="65"/>
                <w:b w:val="1"/>
                <w:bCs w:val="1"/>
                <w:color w:val="071D49"/>
              </w:rPr>
              <w:t>1</w:t>
            </w:r>
          </w:p>
        </w:tc>
        <w:tc>
          <w:tcPr>
            <w:tcW w:w="2180" w:type="dxa"/>
            <w:vAlign w:val="bottom"/>
            <w:tcBorders>
              <w:top w:val="single" w:sz="8" w:color="071D49"/>
            </w:tcBorders>
          </w:tcPr>
          <w:p>
            <w:pPr>
              <w:ind w:left="180"/>
              <w:spacing w:after="0"/>
              <w:rPr>
                <w:sz w:val="20"/>
                <w:szCs w:val="20"/>
                <w:color w:val="auto"/>
              </w:rPr>
            </w:pPr>
            <w:r>
              <w:rPr>
                <w:rFonts w:ascii="Arial" w:cs="Arial" w:eastAsia="Arial" w:hAnsi="Arial"/>
                <w:sz w:val="18"/>
                <w:szCs w:val="18"/>
                <w:b w:val="1"/>
                <w:bCs w:val="1"/>
                <w:color w:val="auto"/>
              </w:rPr>
              <w:t>Align executive</w:t>
            </w:r>
          </w:p>
        </w:tc>
        <w:tc>
          <w:tcPr>
            <w:tcW w:w="360" w:type="dxa"/>
            <w:vAlign w:val="bottom"/>
            <w:tcBorders>
              <w:right w:val="single" w:sz="8" w:color="071D49"/>
            </w:tcBorders>
          </w:tcPr>
          <w:p>
            <w:pPr>
              <w:spacing w:after="0"/>
              <w:rPr>
                <w:sz w:val="24"/>
                <w:szCs w:val="24"/>
                <w:color w:val="auto"/>
              </w:rPr>
            </w:pPr>
          </w:p>
        </w:tc>
        <w:tc>
          <w:tcPr>
            <w:tcW w:w="740" w:type="dxa"/>
            <w:vAlign w:val="bottom"/>
            <w:tcBorders>
              <w:top w:val="single" w:sz="8" w:color="071D49"/>
            </w:tcBorders>
            <w:vMerge w:val="restart"/>
          </w:tcPr>
          <w:p>
            <w:pPr>
              <w:jc w:val="right"/>
              <w:spacing w:after="0"/>
              <w:rPr>
                <w:sz w:val="20"/>
                <w:szCs w:val="20"/>
                <w:color w:val="auto"/>
              </w:rPr>
            </w:pPr>
            <w:r>
              <w:rPr>
                <w:rFonts w:ascii="Arial" w:cs="Arial" w:eastAsia="Arial" w:hAnsi="Arial"/>
                <w:sz w:val="65"/>
                <w:szCs w:val="65"/>
                <w:b w:val="1"/>
                <w:bCs w:val="1"/>
                <w:color w:val="071D49"/>
              </w:rPr>
              <w:t>2</w:t>
            </w:r>
          </w:p>
        </w:tc>
        <w:tc>
          <w:tcPr>
            <w:tcW w:w="2160" w:type="dxa"/>
            <w:vAlign w:val="bottom"/>
            <w:tcBorders>
              <w:top w:val="single" w:sz="8" w:color="071D49"/>
            </w:tcBorders>
          </w:tcPr>
          <w:p>
            <w:pPr>
              <w:ind w:left="160"/>
              <w:spacing w:after="0"/>
              <w:rPr>
                <w:sz w:val="20"/>
                <w:szCs w:val="20"/>
                <w:color w:val="auto"/>
              </w:rPr>
            </w:pPr>
            <w:r>
              <w:rPr>
                <w:rFonts w:ascii="Arial" w:cs="Arial" w:eastAsia="Arial" w:hAnsi="Arial"/>
                <w:sz w:val="18"/>
                <w:szCs w:val="18"/>
                <w:color w:val="auto"/>
              </w:rPr>
              <w:t>Support achievement of</w:t>
            </w:r>
          </w:p>
        </w:tc>
        <w:tc>
          <w:tcPr>
            <w:tcW w:w="360" w:type="dxa"/>
            <w:vAlign w:val="bottom"/>
            <w:tcBorders>
              <w:right w:val="single" w:sz="8" w:color="071D49"/>
            </w:tcBorders>
          </w:tcPr>
          <w:p>
            <w:pPr>
              <w:spacing w:after="0"/>
              <w:rPr>
                <w:sz w:val="24"/>
                <w:szCs w:val="24"/>
                <w:color w:val="auto"/>
              </w:rPr>
            </w:pPr>
          </w:p>
        </w:tc>
        <w:tc>
          <w:tcPr>
            <w:tcW w:w="720" w:type="dxa"/>
            <w:vAlign w:val="bottom"/>
            <w:tcBorders>
              <w:top w:val="single" w:sz="8" w:color="071D49"/>
            </w:tcBorders>
            <w:vMerge w:val="restart"/>
          </w:tcPr>
          <w:p>
            <w:pPr>
              <w:jc w:val="right"/>
              <w:spacing w:after="0"/>
              <w:rPr>
                <w:sz w:val="20"/>
                <w:szCs w:val="20"/>
                <w:color w:val="auto"/>
              </w:rPr>
            </w:pPr>
            <w:r>
              <w:rPr>
                <w:rFonts w:ascii="Arial" w:cs="Arial" w:eastAsia="Arial" w:hAnsi="Arial"/>
                <w:sz w:val="65"/>
                <w:szCs w:val="65"/>
                <w:b w:val="1"/>
                <w:bCs w:val="1"/>
                <w:color w:val="071D49"/>
              </w:rPr>
              <w:t>3</w:t>
            </w:r>
          </w:p>
        </w:tc>
        <w:tc>
          <w:tcPr>
            <w:tcW w:w="2120" w:type="dxa"/>
            <w:vAlign w:val="bottom"/>
            <w:tcBorders>
              <w:top w:val="single" w:sz="8" w:color="071D49"/>
            </w:tcBorders>
          </w:tcPr>
          <w:p>
            <w:pPr>
              <w:ind w:left="180"/>
              <w:spacing w:after="0"/>
              <w:rPr>
                <w:sz w:val="20"/>
                <w:szCs w:val="20"/>
                <w:color w:val="auto"/>
              </w:rPr>
            </w:pPr>
            <w:r>
              <w:rPr>
                <w:rFonts w:ascii="Arial" w:cs="Arial" w:eastAsia="Arial" w:hAnsi="Arial"/>
                <w:sz w:val="18"/>
                <w:szCs w:val="18"/>
                <w:b w:val="1"/>
                <w:bCs w:val="1"/>
                <w:color w:val="auto"/>
              </w:rPr>
              <w:t>Attract and retain</w:t>
            </w:r>
          </w:p>
        </w:tc>
        <w:tc>
          <w:tcPr>
            <w:tcW w:w="0" w:type="dxa"/>
            <w:vAlign w:val="bottom"/>
          </w:tcPr>
          <w:p>
            <w:pPr>
              <w:spacing w:after="0"/>
              <w:rPr>
                <w:sz w:val="1"/>
                <w:szCs w:val="1"/>
                <w:color w:val="auto"/>
              </w:rPr>
            </w:pPr>
          </w:p>
        </w:tc>
      </w:tr>
      <w:tr>
        <w:trPr>
          <w:trHeight w:val="203"/>
        </w:trPr>
        <w:tc>
          <w:tcPr>
            <w:tcW w:w="640" w:type="dxa"/>
            <w:vAlign w:val="bottom"/>
            <w:tcBorders>
              <w:left w:val="single" w:sz="8" w:color="071D49"/>
            </w:tcBorders>
            <w:vMerge w:val="continue"/>
          </w:tcPr>
          <w:p>
            <w:pPr>
              <w:spacing w:after="0"/>
              <w:rPr>
                <w:sz w:val="17"/>
                <w:szCs w:val="17"/>
                <w:color w:val="auto"/>
              </w:rPr>
            </w:pPr>
          </w:p>
        </w:tc>
        <w:tc>
          <w:tcPr>
            <w:tcW w:w="2540" w:type="dxa"/>
            <w:vAlign w:val="bottom"/>
            <w:tcBorders>
              <w:right w:val="single" w:sz="8" w:color="071D49"/>
            </w:tcBorders>
            <w:gridSpan w:val="2"/>
          </w:tcPr>
          <w:p>
            <w:pPr>
              <w:ind w:left="180"/>
              <w:spacing w:after="0" w:line="202" w:lineRule="exact"/>
              <w:rPr>
                <w:sz w:val="20"/>
                <w:szCs w:val="20"/>
                <w:color w:val="auto"/>
              </w:rPr>
            </w:pPr>
            <w:r>
              <w:rPr>
                <w:rFonts w:ascii="Arial" w:cs="Arial" w:eastAsia="Arial" w:hAnsi="Arial"/>
                <w:sz w:val="18"/>
                <w:szCs w:val="18"/>
                <w:b w:val="1"/>
                <w:bCs w:val="1"/>
                <w:color w:val="auto"/>
              </w:rPr>
              <w:t xml:space="preserve">interests </w:t>
            </w:r>
            <w:r>
              <w:rPr>
                <w:rFonts w:ascii="Arial" w:cs="Arial" w:eastAsia="Arial" w:hAnsi="Arial"/>
                <w:sz w:val="18"/>
                <w:szCs w:val="18"/>
                <w:color w:val="auto"/>
              </w:rPr>
              <w:t>with the</w:t>
            </w:r>
          </w:p>
        </w:tc>
        <w:tc>
          <w:tcPr>
            <w:tcW w:w="740" w:type="dxa"/>
            <w:vAlign w:val="bottom"/>
            <w:vMerge w:val="continue"/>
          </w:tcPr>
          <w:p>
            <w:pPr>
              <w:spacing w:after="0"/>
              <w:rPr>
                <w:sz w:val="17"/>
                <w:szCs w:val="17"/>
                <w:color w:val="auto"/>
              </w:rPr>
            </w:pPr>
          </w:p>
        </w:tc>
        <w:tc>
          <w:tcPr>
            <w:tcW w:w="2520" w:type="dxa"/>
            <w:vAlign w:val="bottom"/>
            <w:tcBorders>
              <w:right w:val="single" w:sz="8" w:color="071D49"/>
            </w:tcBorders>
            <w:gridSpan w:val="2"/>
          </w:tcPr>
          <w:p>
            <w:pPr>
              <w:ind w:left="160"/>
              <w:spacing w:after="0" w:line="202" w:lineRule="exact"/>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b w:val="1"/>
                <w:bCs w:val="1"/>
                <w:color w:val="auto"/>
              </w:rPr>
              <w:t>primary</w:t>
            </w:r>
          </w:p>
        </w:tc>
        <w:tc>
          <w:tcPr>
            <w:tcW w:w="720" w:type="dxa"/>
            <w:vAlign w:val="bottom"/>
            <w:vMerge w:val="continue"/>
          </w:tcPr>
          <w:p>
            <w:pPr>
              <w:spacing w:after="0"/>
              <w:rPr>
                <w:sz w:val="17"/>
                <w:szCs w:val="17"/>
                <w:color w:val="auto"/>
              </w:rPr>
            </w:pPr>
          </w:p>
        </w:tc>
        <w:tc>
          <w:tcPr>
            <w:tcW w:w="2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world-class</w:t>
            </w:r>
          </w:p>
        </w:tc>
        <w:tc>
          <w:tcPr>
            <w:tcW w:w="0" w:type="dxa"/>
            <w:vAlign w:val="bottom"/>
          </w:tcPr>
          <w:p>
            <w:pPr>
              <w:spacing w:after="0"/>
              <w:rPr>
                <w:sz w:val="1"/>
                <w:szCs w:val="1"/>
                <w:color w:val="auto"/>
              </w:rPr>
            </w:pPr>
          </w:p>
        </w:tc>
      </w:tr>
      <w:tr>
        <w:trPr>
          <w:trHeight w:val="224"/>
        </w:trPr>
        <w:tc>
          <w:tcPr>
            <w:tcW w:w="640" w:type="dxa"/>
            <w:vAlign w:val="bottom"/>
            <w:tcBorders>
              <w:left w:val="single" w:sz="8" w:color="071D49"/>
            </w:tcBorders>
            <w:vMerge w:val="continue"/>
          </w:tcPr>
          <w:p>
            <w:pPr>
              <w:spacing w:after="0"/>
              <w:rPr>
                <w:sz w:val="19"/>
                <w:szCs w:val="19"/>
                <w:color w:val="auto"/>
              </w:rPr>
            </w:pPr>
          </w:p>
        </w:tc>
        <w:tc>
          <w:tcPr>
            <w:tcW w:w="2540" w:type="dxa"/>
            <w:vAlign w:val="bottom"/>
            <w:tcBorders>
              <w:right w:val="single" w:sz="8" w:color="071D49"/>
            </w:tcBorders>
            <w:gridSpan w:val="2"/>
          </w:tcPr>
          <w:p>
            <w:pPr>
              <w:ind w:left="180"/>
              <w:spacing w:after="0"/>
              <w:rPr>
                <w:sz w:val="20"/>
                <w:szCs w:val="20"/>
                <w:color w:val="auto"/>
              </w:rPr>
            </w:pPr>
            <w:r>
              <w:rPr>
                <w:rFonts w:ascii="Arial" w:cs="Arial" w:eastAsia="Arial" w:hAnsi="Arial"/>
                <w:sz w:val="18"/>
                <w:szCs w:val="18"/>
                <w:color w:val="auto"/>
              </w:rPr>
              <w:t>drivers of stockholder</w:t>
            </w:r>
          </w:p>
        </w:tc>
        <w:tc>
          <w:tcPr>
            <w:tcW w:w="740" w:type="dxa"/>
            <w:vAlign w:val="bottom"/>
            <w:vMerge w:val="continue"/>
          </w:tcPr>
          <w:p>
            <w:pPr>
              <w:spacing w:after="0"/>
              <w:rPr>
                <w:sz w:val="19"/>
                <w:szCs w:val="19"/>
                <w:color w:val="auto"/>
              </w:rPr>
            </w:pPr>
          </w:p>
        </w:tc>
        <w:tc>
          <w:tcPr>
            <w:tcW w:w="2520" w:type="dxa"/>
            <w:vAlign w:val="bottom"/>
            <w:tcBorders>
              <w:right w:val="single" w:sz="8" w:color="071D49"/>
            </w:tcBorders>
            <w:gridSpan w:val="2"/>
          </w:tcPr>
          <w:p>
            <w:pPr>
              <w:ind w:left="160"/>
              <w:spacing w:after="0"/>
              <w:rPr>
                <w:sz w:val="20"/>
                <w:szCs w:val="20"/>
                <w:color w:val="auto"/>
              </w:rPr>
            </w:pPr>
            <w:r>
              <w:rPr>
                <w:rFonts w:ascii="Arial" w:cs="Arial" w:eastAsia="Arial" w:hAnsi="Arial"/>
                <w:sz w:val="18"/>
                <w:szCs w:val="18"/>
                <w:b w:val="1"/>
                <w:bCs w:val="1"/>
                <w:color w:val="auto"/>
              </w:rPr>
              <w:t xml:space="preserve">business goals </w:t>
            </w:r>
            <w:r>
              <w:rPr>
                <w:rFonts w:ascii="Arial" w:cs="Arial" w:eastAsia="Arial" w:hAnsi="Arial"/>
                <w:sz w:val="18"/>
                <w:szCs w:val="18"/>
                <w:color w:val="auto"/>
              </w:rPr>
              <w:t>to</w:t>
            </w:r>
          </w:p>
        </w:tc>
        <w:tc>
          <w:tcPr>
            <w:tcW w:w="720" w:type="dxa"/>
            <w:vAlign w:val="bottom"/>
            <w:vMerge w:val="continue"/>
          </w:tcPr>
          <w:p>
            <w:pPr>
              <w:spacing w:after="0"/>
              <w:rPr>
                <w:sz w:val="19"/>
                <w:szCs w:val="19"/>
                <w:color w:val="auto"/>
              </w:rPr>
            </w:pPr>
          </w:p>
        </w:tc>
        <w:tc>
          <w:tcPr>
            <w:tcW w:w="2120" w:type="dxa"/>
            <w:vAlign w:val="bottom"/>
          </w:tcPr>
          <w:p>
            <w:pPr>
              <w:ind w:left="180"/>
              <w:spacing w:after="0"/>
              <w:rPr>
                <w:sz w:val="20"/>
                <w:szCs w:val="20"/>
                <w:color w:val="auto"/>
              </w:rPr>
            </w:pPr>
            <w:r>
              <w:rPr>
                <w:rFonts w:ascii="Arial" w:cs="Arial" w:eastAsia="Arial" w:hAnsi="Arial"/>
                <w:sz w:val="18"/>
                <w:szCs w:val="18"/>
                <w:b w:val="1"/>
                <w:bCs w:val="1"/>
                <w:color w:val="auto"/>
              </w:rPr>
              <w:t xml:space="preserve">executives </w:t>
            </w:r>
            <w:r>
              <w:rPr>
                <w:rFonts w:ascii="Arial" w:cs="Arial" w:eastAsia="Arial" w:hAnsi="Arial"/>
                <w:sz w:val="18"/>
                <w:szCs w:val="18"/>
                <w:color w:val="auto"/>
              </w:rPr>
              <w:t>whose</w:t>
            </w:r>
          </w:p>
        </w:tc>
        <w:tc>
          <w:tcPr>
            <w:tcW w:w="0" w:type="dxa"/>
            <w:vAlign w:val="bottom"/>
          </w:tcPr>
          <w:p>
            <w:pPr>
              <w:spacing w:after="0"/>
              <w:rPr>
                <w:sz w:val="1"/>
                <w:szCs w:val="1"/>
                <w:color w:val="auto"/>
              </w:rPr>
            </w:pPr>
          </w:p>
        </w:tc>
      </w:tr>
      <w:tr>
        <w:trPr>
          <w:trHeight w:val="203"/>
        </w:trPr>
        <w:tc>
          <w:tcPr>
            <w:tcW w:w="640" w:type="dxa"/>
            <w:vAlign w:val="bottom"/>
            <w:tcBorders>
              <w:left w:val="single" w:sz="8" w:color="071D49"/>
            </w:tcBorders>
            <w:vMerge w:val="continue"/>
          </w:tcPr>
          <w:p>
            <w:pPr>
              <w:spacing w:after="0"/>
              <w:rPr>
                <w:sz w:val="17"/>
                <w:szCs w:val="17"/>
                <w:color w:val="auto"/>
              </w:rPr>
            </w:pPr>
          </w:p>
        </w:tc>
        <w:tc>
          <w:tcPr>
            <w:tcW w:w="2540" w:type="dxa"/>
            <w:vAlign w:val="bottom"/>
            <w:tcBorders>
              <w:right w:val="single" w:sz="8" w:color="071D49"/>
            </w:tcBorders>
            <w:gridSpan w:val="2"/>
          </w:tcPr>
          <w:p>
            <w:pPr>
              <w:ind w:left="180"/>
              <w:spacing w:after="0" w:line="202" w:lineRule="exact"/>
              <w:rPr>
                <w:sz w:val="20"/>
                <w:szCs w:val="20"/>
                <w:color w:val="auto"/>
              </w:rPr>
            </w:pPr>
            <w:r>
              <w:rPr>
                <w:rFonts w:ascii="Arial" w:cs="Arial" w:eastAsia="Arial" w:hAnsi="Arial"/>
                <w:sz w:val="18"/>
                <w:szCs w:val="18"/>
                <w:color w:val="auto"/>
              </w:rPr>
              <w:t>returns and profitable</w:t>
            </w:r>
          </w:p>
        </w:tc>
        <w:tc>
          <w:tcPr>
            <w:tcW w:w="740" w:type="dxa"/>
            <w:vAlign w:val="bottom"/>
            <w:vMerge w:val="continue"/>
          </w:tcPr>
          <w:p>
            <w:pPr>
              <w:spacing w:after="0"/>
              <w:rPr>
                <w:sz w:val="17"/>
                <w:szCs w:val="17"/>
                <w:color w:val="auto"/>
              </w:rPr>
            </w:pPr>
          </w:p>
        </w:tc>
        <w:tc>
          <w:tcPr>
            <w:tcW w:w="2520" w:type="dxa"/>
            <w:vAlign w:val="bottom"/>
            <w:tcBorders>
              <w:right w:val="single" w:sz="8" w:color="071D49"/>
            </w:tcBorders>
            <w:gridSpan w:val="2"/>
          </w:tcPr>
          <w:p>
            <w:pPr>
              <w:ind w:left="160"/>
              <w:spacing w:after="0" w:line="202" w:lineRule="exact"/>
              <w:rPr>
                <w:sz w:val="20"/>
                <w:szCs w:val="20"/>
                <w:color w:val="auto"/>
              </w:rPr>
            </w:pPr>
            <w:r>
              <w:rPr>
                <w:rFonts w:ascii="Arial" w:cs="Arial" w:eastAsia="Arial" w:hAnsi="Arial"/>
                <w:sz w:val="18"/>
                <w:szCs w:val="18"/>
                <w:color w:val="auto"/>
              </w:rPr>
              <w:t>have a remarkable</w:t>
            </w:r>
          </w:p>
        </w:tc>
        <w:tc>
          <w:tcPr>
            <w:tcW w:w="720" w:type="dxa"/>
            <w:vAlign w:val="bottom"/>
            <w:vMerge w:val="continue"/>
          </w:tcPr>
          <w:p>
            <w:pPr>
              <w:spacing w:after="0"/>
              <w:rPr>
                <w:sz w:val="17"/>
                <w:szCs w:val="17"/>
                <w:color w:val="auto"/>
              </w:rPr>
            </w:pPr>
          </w:p>
        </w:tc>
        <w:tc>
          <w:tcPr>
            <w:tcW w:w="2120" w:type="dxa"/>
            <w:vAlign w:val="bottom"/>
          </w:tcPr>
          <w:p>
            <w:pPr>
              <w:ind w:left="180"/>
              <w:spacing w:after="0" w:line="202" w:lineRule="exact"/>
              <w:rPr>
                <w:sz w:val="20"/>
                <w:szCs w:val="20"/>
                <w:color w:val="auto"/>
              </w:rPr>
            </w:pPr>
            <w:r>
              <w:rPr>
                <w:rFonts w:ascii="Arial" w:cs="Arial" w:eastAsia="Arial" w:hAnsi="Arial"/>
                <w:sz w:val="18"/>
                <w:szCs w:val="18"/>
                <w:color w:val="auto"/>
              </w:rPr>
              <w:t>talents and</w:t>
            </w:r>
          </w:p>
        </w:tc>
        <w:tc>
          <w:tcPr>
            <w:tcW w:w="0" w:type="dxa"/>
            <w:vAlign w:val="bottom"/>
          </w:tcPr>
          <w:p>
            <w:pPr>
              <w:spacing w:after="0"/>
              <w:rPr>
                <w:sz w:val="1"/>
                <w:szCs w:val="1"/>
                <w:color w:val="auto"/>
              </w:rPr>
            </w:pPr>
          </w:p>
        </w:tc>
      </w:tr>
      <w:tr>
        <w:trPr>
          <w:trHeight w:val="203"/>
        </w:trPr>
        <w:tc>
          <w:tcPr>
            <w:tcW w:w="640" w:type="dxa"/>
            <w:vAlign w:val="bottom"/>
            <w:tcBorders>
              <w:left w:val="single" w:sz="8" w:color="071D49"/>
            </w:tcBorders>
          </w:tcPr>
          <w:p>
            <w:pPr>
              <w:spacing w:after="0"/>
              <w:rPr>
                <w:sz w:val="17"/>
                <w:szCs w:val="17"/>
                <w:color w:val="auto"/>
              </w:rPr>
            </w:pPr>
          </w:p>
        </w:tc>
        <w:tc>
          <w:tcPr>
            <w:tcW w:w="2540" w:type="dxa"/>
            <w:vAlign w:val="bottom"/>
            <w:tcBorders>
              <w:right w:val="single" w:sz="8" w:color="071D49"/>
            </w:tcBorders>
            <w:gridSpan w:val="2"/>
          </w:tcPr>
          <w:p>
            <w:pPr>
              <w:ind w:left="180"/>
              <w:spacing w:after="0" w:line="202" w:lineRule="exact"/>
              <w:rPr>
                <w:sz w:val="20"/>
                <w:szCs w:val="20"/>
                <w:color w:val="auto"/>
              </w:rPr>
            </w:pPr>
            <w:r>
              <w:rPr>
                <w:rFonts w:ascii="Arial" w:cs="Arial" w:eastAsia="Arial" w:hAnsi="Arial"/>
                <w:sz w:val="18"/>
                <w:szCs w:val="18"/>
                <w:color w:val="auto"/>
              </w:rPr>
              <w:t>growth</w:t>
            </w:r>
          </w:p>
        </w:tc>
        <w:tc>
          <w:tcPr>
            <w:tcW w:w="740" w:type="dxa"/>
            <w:vAlign w:val="bottom"/>
          </w:tcPr>
          <w:p>
            <w:pPr>
              <w:spacing w:after="0"/>
              <w:rPr>
                <w:sz w:val="17"/>
                <w:szCs w:val="17"/>
                <w:color w:val="auto"/>
              </w:rPr>
            </w:pPr>
          </w:p>
        </w:tc>
        <w:tc>
          <w:tcPr>
            <w:tcW w:w="2520" w:type="dxa"/>
            <w:vAlign w:val="bottom"/>
            <w:tcBorders>
              <w:right w:val="single" w:sz="8" w:color="071D49"/>
            </w:tcBorders>
            <w:gridSpan w:val="2"/>
          </w:tcPr>
          <w:p>
            <w:pPr>
              <w:ind w:left="160"/>
              <w:spacing w:after="0" w:line="202" w:lineRule="exact"/>
              <w:rPr>
                <w:sz w:val="20"/>
                <w:szCs w:val="20"/>
                <w:color w:val="auto"/>
              </w:rPr>
            </w:pPr>
            <w:r>
              <w:rPr>
                <w:rFonts w:ascii="Arial" w:cs="Arial" w:eastAsia="Arial" w:hAnsi="Arial"/>
                <w:sz w:val="18"/>
                <w:szCs w:val="18"/>
                <w:color w:val="auto"/>
              </w:rPr>
              <w:t>impact on patients’</w:t>
            </w:r>
          </w:p>
        </w:tc>
        <w:tc>
          <w:tcPr>
            <w:tcW w:w="720" w:type="dxa"/>
            <w:vAlign w:val="bottom"/>
          </w:tcPr>
          <w:p>
            <w:pPr>
              <w:spacing w:after="0"/>
              <w:rPr>
                <w:sz w:val="17"/>
                <w:szCs w:val="17"/>
                <w:color w:val="auto"/>
              </w:rPr>
            </w:pPr>
          </w:p>
        </w:tc>
        <w:tc>
          <w:tcPr>
            <w:tcW w:w="2120" w:type="dxa"/>
            <w:vAlign w:val="bottom"/>
          </w:tcPr>
          <w:p>
            <w:pPr>
              <w:ind w:left="180"/>
              <w:spacing w:after="0" w:line="202" w:lineRule="exact"/>
              <w:rPr>
                <w:sz w:val="20"/>
                <w:szCs w:val="20"/>
                <w:color w:val="auto"/>
              </w:rPr>
            </w:pPr>
            <w:r>
              <w:rPr>
                <w:rFonts w:ascii="Arial" w:cs="Arial" w:eastAsia="Arial" w:hAnsi="Arial"/>
                <w:sz w:val="18"/>
                <w:szCs w:val="18"/>
                <w:color w:val="auto"/>
              </w:rPr>
              <w:t>contributions sustain</w:t>
            </w:r>
          </w:p>
        </w:tc>
        <w:tc>
          <w:tcPr>
            <w:tcW w:w="0" w:type="dxa"/>
            <w:vAlign w:val="bottom"/>
          </w:tcPr>
          <w:p>
            <w:pPr>
              <w:spacing w:after="0"/>
              <w:rPr>
                <w:sz w:val="1"/>
                <w:szCs w:val="1"/>
                <w:color w:val="auto"/>
              </w:rPr>
            </w:pPr>
          </w:p>
        </w:tc>
      </w:tr>
      <w:tr>
        <w:trPr>
          <w:trHeight w:val="203"/>
        </w:trPr>
        <w:tc>
          <w:tcPr>
            <w:tcW w:w="640" w:type="dxa"/>
            <w:vAlign w:val="bottom"/>
            <w:tcBorders>
              <w:left w:val="single" w:sz="8" w:color="071D49"/>
            </w:tcBorders>
          </w:tcPr>
          <w:p>
            <w:pPr>
              <w:spacing w:after="0"/>
              <w:rPr>
                <w:sz w:val="17"/>
                <w:szCs w:val="17"/>
                <w:color w:val="auto"/>
              </w:rPr>
            </w:pPr>
          </w:p>
        </w:tc>
        <w:tc>
          <w:tcPr>
            <w:tcW w:w="2180" w:type="dxa"/>
            <w:vAlign w:val="bottom"/>
          </w:tcPr>
          <w:p>
            <w:pPr>
              <w:spacing w:after="0"/>
              <w:rPr>
                <w:sz w:val="17"/>
                <w:szCs w:val="17"/>
                <w:color w:val="auto"/>
              </w:rPr>
            </w:pPr>
          </w:p>
        </w:tc>
        <w:tc>
          <w:tcPr>
            <w:tcW w:w="360" w:type="dxa"/>
            <w:vAlign w:val="bottom"/>
            <w:tcBorders>
              <w:right w:val="single" w:sz="8" w:color="071D49"/>
            </w:tcBorders>
          </w:tcPr>
          <w:p>
            <w:pPr>
              <w:spacing w:after="0"/>
              <w:rPr>
                <w:sz w:val="17"/>
                <w:szCs w:val="17"/>
                <w:color w:val="auto"/>
              </w:rPr>
            </w:pPr>
          </w:p>
        </w:tc>
        <w:tc>
          <w:tcPr>
            <w:tcW w:w="740" w:type="dxa"/>
            <w:vAlign w:val="bottom"/>
          </w:tcPr>
          <w:p>
            <w:pPr>
              <w:spacing w:after="0"/>
              <w:rPr>
                <w:sz w:val="17"/>
                <w:szCs w:val="17"/>
                <w:color w:val="auto"/>
              </w:rPr>
            </w:pPr>
          </w:p>
        </w:tc>
        <w:tc>
          <w:tcPr>
            <w:tcW w:w="2520" w:type="dxa"/>
            <w:vAlign w:val="bottom"/>
            <w:tcBorders>
              <w:right w:val="single" w:sz="8" w:color="071D49"/>
            </w:tcBorders>
            <w:gridSpan w:val="2"/>
          </w:tcPr>
          <w:p>
            <w:pPr>
              <w:ind w:left="160"/>
              <w:spacing w:after="0" w:line="202" w:lineRule="exact"/>
              <w:rPr>
                <w:sz w:val="20"/>
                <w:szCs w:val="20"/>
                <w:color w:val="auto"/>
              </w:rPr>
            </w:pPr>
            <w:r>
              <w:rPr>
                <w:rFonts w:ascii="Arial" w:cs="Arial" w:eastAsia="Arial" w:hAnsi="Arial"/>
                <w:sz w:val="18"/>
                <w:szCs w:val="18"/>
                <w:color w:val="auto"/>
              </w:rPr>
              <w:t>lives</w:t>
            </w:r>
          </w:p>
        </w:tc>
        <w:tc>
          <w:tcPr>
            <w:tcW w:w="720" w:type="dxa"/>
            <w:vAlign w:val="bottom"/>
          </w:tcPr>
          <w:p>
            <w:pPr>
              <w:spacing w:after="0"/>
              <w:rPr>
                <w:sz w:val="17"/>
                <w:szCs w:val="17"/>
                <w:color w:val="auto"/>
              </w:rPr>
            </w:pPr>
          </w:p>
        </w:tc>
        <w:tc>
          <w:tcPr>
            <w:tcW w:w="2120" w:type="dxa"/>
            <w:vAlign w:val="bottom"/>
          </w:tcPr>
          <w:p>
            <w:pPr>
              <w:ind w:left="180"/>
              <w:spacing w:after="0" w:line="202" w:lineRule="exact"/>
              <w:rPr>
                <w:sz w:val="20"/>
                <w:szCs w:val="20"/>
                <w:color w:val="auto"/>
              </w:rPr>
            </w:pPr>
            <w:r>
              <w:rPr>
                <w:rFonts w:ascii="Arial" w:cs="Arial" w:eastAsia="Arial" w:hAnsi="Arial"/>
                <w:sz w:val="18"/>
                <w:szCs w:val="18"/>
                <w:color w:val="auto"/>
              </w:rPr>
              <w:t>the growth in long-term</w:t>
            </w:r>
          </w:p>
        </w:tc>
        <w:tc>
          <w:tcPr>
            <w:tcW w:w="0" w:type="dxa"/>
            <w:vAlign w:val="bottom"/>
          </w:tcPr>
          <w:p>
            <w:pPr>
              <w:spacing w:after="0"/>
              <w:rPr>
                <w:sz w:val="1"/>
                <w:szCs w:val="1"/>
                <w:color w:val="auto"/>
              </w:rPr>
            </w:pPr>
          </w:p>
        </w:tc>
      </w:tr>
      <w:tr>
        <w:trPr>
          <w:trHeight w:val="217"/>
        </w:trPr>
        <w:tc>
          <w:tcPr>
            <w:tcW w:w="640" w:type="dxa"/>
            <w:vAlign w:val="bottom"/>
            <w:tcBorders>
              <w:left w:val="single" w:sz="8" w:color="071D49"/>
            </w:tcBorders>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Borders>
              <w:right w:val="single" w:sz="8" w:color="071D49"/>
            </w:tcBorders>
          </w:tcPr>
          <w:p>
            <w:pPr>
              <w:spacing w:after="0"/>
              <w:rPr>
                <w:sz w:val="18"/>
                <w:szCs w:val="18"/>
                <w:color w:val="auto"/>
              </w:rPr>
            </w:pPr>
          </w:p>
        </w:tc>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right w:val="single" w:sz="8" w:color="071D49"/>
            </w:tcBorders>
          </w:tcPr>
          <w:p>
            <w:pPr>
              <w:spacing w:after="0"/>
              <w:rPr>
                <w:sz w:val="18"/>
                <w:szCs w:val="18"/>
                <w:color w:val="auto"/>
              </w:rPr>
            </w:pPr>
          </w:p>
        </w:tc>
        <w:tc>
          <w:tcPr>
            <w:tcW w:w="720" w:type="dxa"/>
            <w:vAlign w:val="bottom"/>
          </w:tcPr>
          <w:p>
            <w:pPr>
              <w:spacing w:after="0"/>
              <w:rPr>
                <w:sz w:val="18"/>
                <w:szCs w:val="18"/>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stockholder value</w:t>
            </w:r>
          </w:p>
        </w:tc>
        <w:tc>
          <w:tcPr>
            <w:tcW w:w="0" w:type="dxa"/>
            <w:vAlign w:val="bottom"/>
          </w:tcPr>
          <w:p>
            <w:pPr>
              <w:spacing w:after="0"/>
              <w:rPr>
                <w:sz w:val="1"/>
                <w:szCs w:val="1"/>
                <w:color w:val="auto"/>
              </w:rPr>
            </w:pPr>
          </w:p>
        </w:tc>
      </w:tr>
      <w:tr>
        <w:trPr>
          <w:trHeight w:val="94"/>
        </w:trPr>
        <w:tc>
          <w:tcPr>
            <w:tcW w:w="640" w:type="dxa"/>
            <w:vAlign w:val="bottom"/>
            <w:tcBorders>
              <w:left w:val="single" w:sz="8" w:color="071D49"/>
            </w:tcBorders>
          </w:tcPr>
          <w:p>
            <w:pPr>
              <w:spacing w:after="0"/>
              <w:rPr>
                <w:sz w:val="8"/>
                <w:szCs w:val="8"/>
                <w:color w:val="auto"/>
              </w:rPr>
            </w:pPr>
          </w:p>
        </w:tc>
        <w:tc>
          <w:tcPr>
            <w:tcW w:w="2180" w:type="dxa"/>
            <w:vAlign w:val="bottom"/>
          </w:tcPr>
          <w:p>
            <w:pPr>
              <w:spacing w:after="0"/>
              <w:rPr>
                <w:sz w:val="8"/>
                <w:szCs w:val="8"/>
                <w:color w:val="auto"/>
              </w:rPr>
            </w:pPr>
          </w:p>
        </w:tc>
        <w:tc>
          <w:tcPr>
            <w:tcW w:w="360" w:type="dxa"/>
            <w:vAlign w:val="bottom"/>
            <w:tcBorders>
              <w:right w:val="single" w:sz="8" w:color="071D49"/>
            </w:tcBorders>
          </w:tcPr>
          <w:p>
            <w:pPr>
              <w:spacing w:after="0"/>
              <w:rPr>
                <w:sz w:val="8"/>
                <w:szCs w:val="8"/>
                <w:color w:val="auto"/>
              </w:rPr>
            </w:pPr>
          </w:p>
        </w:tc>
        <w:tc>
          <w:tcPr>
            <w:tcW w:w="7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60" w:type="dxa"/>
            <w:vAlign w:val="bottom"/>
            <w:tcBorders>
              <w:right w:val="single" w:sz="8" w:color="071D49"/>
            </w:tcBorders>
          </w:tcPr>
          <w:p>
            <w:pPr>
              <w:spacing w:after="0"/>
              <w:rPr>
                <w:sz w:val="8"/>
                <w:szCs w:val="8"/>
                <w:color w:val="auto"/>
              </w:rPr>
            </w:pPr>
          </w:p>
        </w:tc>
        <w:tc>
          <w:tcPr>
            <w:tcW w:w="7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80"/>
          </w:cols>
          <w:pgMar w:left="1280" w:top="530" w:right="1339" w:bottom="1440" w:gutter="0" w:footer="0" w:header="0"/>
        </w:sectPr>
      </w:pP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71D49"/>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97155</wp:posOffset>
            </wp:positionV>
            <wp:extent cx="280289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02890" cy="260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0" w:right="420" w:hanging="264"/>
        <w:spacing w:after="0"/>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balance short- and long-term strategic objectives and directly link compensation to stockholder value.</w:t>
      </w:r>
    </w:p>
    <w:p>
      <w:pPr>
        <w:spacing w:after="0" w:line="202" w:lineRule="exact"/>
        <w:rPr>
          <w:rFonts w:ascii="MS PGothic" w:cs="MS PGothic" w:eastAsia="MS PGothic" w:hAnsi="MS PGothic"/>
          <w:sz w:val="18"/>
          <w:szCs w:val="18"/>
          <w:color w:val="auto"/>
          <w:shd w:val="clear" w:color="auto" w:fill="071D49"/>
        </w:rPr>
      </w:pPr>
    </w:p>
    <w:p>
      <w:pPr>
        <w:ind w:left="400" w:right="500" w:hanging="264"/>
        <w:spacing w:after="0" w:line="246" w:lineRule="auto"/>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tie more than three-fourths of our NEO compensation to performance.</w:t>
      </w:r>
    </w:p>
    <w:p>
      <w:pPr>
        <w:spacing w:after="0" w:line="196" w:lineRule="exact"/>
        <w:rPr>
          <w:rFonts w:ascii="MS PGothic" w:cs="MS PGothic" w:eastAsia="MS PGothic" w:hAnsi="MS PGothic"/>
          <w:sz w:val="18"/>
          <w:szCs w:val="18"/>
          <w:color w:val="auto"/>
          <w:shd w:val="clear" w:color="auto" w:fill="071D49"/>
        </w:rPr>
      </w:pPr>
    </w:p>
    <w:p>
      <w:pPr>
        <w:ind w:left="400" w:hanging="264"/>
        <w:spacing w:after="0" w:line="238" w:lineRule="auto"/>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are committed to pay equity and conduct pay equity analyses annually to ensure pay is equitable across genders and ethnicities among U.S. employees.</w:t>
      </w:r>
    </w:p>
    <w:p>
      <w:pPr>
        <w:spacing w:after="0" w:line="204" w:lineRule="exact"/>
        <w:rPr>
          <w:rFonts w:ascii="MS PGothic" w:cs="MS PGothic" w:eastAsia="MS PGothic" w:hAnsi="MS PGothic"/>
          <w:sz w:val="18"/>
          <w:szCs w:val="18"/>
          <w:color w:val="auto"/>
          <w:shd w:val="clear" w:color="auto" w:fill="071D49"/>
        </w:rPr>
      </w:pPr>
    </w:p>
    <w:p>
      <w:pPr>
        <w:ind w:left="400" w:right="60" w:hanging="264"/>
        <w:spacing w:after="0" w:line="238" w:lineRule="auto"/>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have broad discretion to claw back incentive awards in the unlikely event of a restatement of earnings or material breach of the AbbVie Code of Business Conduct.</w:t>
      </w:r>
    </w:p>
    <w:p>
      <w:pPr>
        <w:spacing w:after="0" w:line="204" w:lineRule="exact"/>
        <w:rPr>
          <w:rFonts w:ascii="MS PGothic" w:cs="MS PGothic" w:eastAsia="MS PGothic" w:hAnsi="MS PGothic"/>
          <w:sz w:val="18"/>
          <w:szCs w:val="18"/>
          <w:color w:val="auto"/>
          <w:shd w:val="clear" w:color="auto" w:fill="071D49"/>
        </w:rPr>
      </w:pPr>
    </w:p>
    <w:p>
      <w:pPr>
        <w:ind w:left="400" w:right="120" w:hanging="264"/>
        <w:spacing w:after="0"/>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engage annually with our largest stockholders to gather feedback on our policies and practices.</w:t>
      </w:r>
    </w:p>
    <w:p>
      <w:pPr>
        <w:spacing w:after="0" w:line="202" w:lineRule="exact"/>
        <w:rPr>
          <w:rFonts w:ascii="MS PGothic" w:cs="MS PGothic" w:eastAsia="MS PGothic" w:hAnsi="MS PGothic"/>
          <w:sz w:val="18"/>
          <w:szCs w:val="18"/>
          <w:color w:val="auto"/>
          <w:shd w:val="clear" w:color="auto" w:fill="071D49"/>
        </w:rPr>
      </w:pPr>
    </w:p>
    <w:p>
      <w:pPr>
        <w:ind w:left="400" w:right="80" w:hanging="264"/>
        <w:spacing w:after="0"/>
        <w:tabs>
          <w:tab w:leader="none" w:pos="400" w:val="left"/>
        </w:tabs>
        <w:numPr>
          <w:ilvl w:val="0"/>
          <w:numId w:val="43"/>
        </w:numPr>
        <w:rPr>
          <w:rFonts w:ascii="MS PGothic" w:cs="MS PGothic" w:eastAsia="MS PGothic" w:hAnsi="MS PGothic"/>
          <w:sz w:val="18"/>
          <w:szCs w:val="18"/>
          <w:color w:val="auto"/>
          <w:shd w:val="clear" w:color="auto" w:fill="071D49"/>
        </w:rPr>
      </w:pPr>
      <w:r>
        <w:rPr>
          <w:rFonts w:ascii="Arial" w:cs="Arial" w:eastAsia="Arial" w:hAnsi="Arial"/>
          <w:sz w:val="18"/>
          <w:szCs w:val="18"/>
          <w:color w:val="auto"/>
        </w:rPr>
        <w:t>We have robust stock ownership guidelines and prohibit the selling of shares unless ownership guidelines have been met.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OVERVIEW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145"/>
        <w:spacing w:after="0"/>
        <w:rPr>
          <w:sz w:val="20"/>
          <w:szCs w:val="20"/>
          <w:color w:val="auto"/>
        </w:rPr>
      </w:pPr>
      <w:r>
        <w:rPr>
          <w:rFonts w:ascii="Arial" w:cs="Arial" w:eastAsia="Arial" w:hAnsi="Arial"/>
          <w:sz w:val="18"/>
          <w:szCs w:val="18"/>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97155</wp:posOffset>
            </wp:positionV>
            <wp:extent cx="2948940" cy="33775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48940" cy="33775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65" w:right="420" w:hanging="265"/>
        <w:spacing w:after="0" w:line="246" w:lineRule="auto"/>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We do not have employment agreements with any of our NEOs.</w:t>
      </w:r>
    </w:p>
    <w:p>
      <w:pPr>
        <w:spacing w:after="0" w:line="196" w:lineRule="exact"/>
        <w:rPr>
          <w:rFonts w:ascii="Arial" w:cs="Arial" w:eastAsia="Arial" w:hAnsi="Arial"/>
          <w:sz w:val="18"/>
          <w:szCs w:val="18"/>
          <w:b w:val="1"/>
          <w:bCs w:val="1"/>
          <w:color w:val="071D49"/>
        </w:rPr>
      </w:pPr>
    </w:p>
    <w:p>
      <w:pPr>
        <w:ind w:left="265" w:right="240" w:hanging="265"/>
        <w:spacing w:after="0" w:line="246" w:lineRule="auto"/>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We do not provide excise tax gross-ups on NEO compensation.</w:t>
      </w:r>
    </w:p>
    <w:p>
      <w:pPr>
        <w:spacing w:after="0" w:line="196" w:lineRule="exact"/>
        <w:rPr>
          <w:rFonts w:ascii="Arial" w:cs="Arial" w:eastAsia="Arial" w:hAnsi="Arial"/>
          <w:sz w:val="18"/>
          <w:szCs w:val="18"/>
          <w:b w:val="1"/>
          <w:bCs w:val="1"/>
          <w:color w:val="071D49"/>
        </w:rPr>
      </w:pPr>
    </w:p>
    <w:p>
      <w:pPr>
        <w:ind w:left="265" w:right="140" w:hanging="265"/>
        <w:spacing w:after="0" w:line="238" w:lineRule="auto"/>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NEOs are prohibited from entering or engaging in the purchase or sale of financial instruments that are designed to hedge or offset any decrease in the market value of AbbVie equity securities they hold.</w:t>
      </w:r>
    </w:p>
    <w:p>
      <w:pPr>
        <w:spacing w:after="0" w:line="202" w:lineRule="exact"/>
        <w:rPr>
          <w:rFonts w:ascii="Arial" w:cs="Arial" w:eastAsia="Arial" w:hAnsi="Arial"/>
          <w:sz w:val="18"/>
          <w:szCs w:val="18"/>
          <w:b w:val="1"/>
          <w:bCs w:val="1"/>
          <w:color w:val="071D49"/>
        </w:rPr>
      </w:pPr>
    </w:p>
    <w:p>
      <w:pPr>
        <w:jc w:val="both"/>
        <w:ind w:left="265" w:right="280" w:hanging="265"/>
        <w:spacing w:after="0"/>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We do not include pay design features that may have the potential to encourage excessive risk-taking.</w:t>
      </w:r>
    </w:p>
    <w:p>
      <w:pPr>
        <w:spacing w:after="0" w:line="202" w:lineRule="exact"/>
        <w:rPr>
          <w:rFonts w:ascii="Arial" w:cs="Arial" w:eastAsia="Arial" w:hAnsi="Arial"/>
          <w:sz w:val="18"/>
          <w:szCs w:val="18"/>
          <w:b w:val="1"/>
          <w:bCs w:val="1"/>
          <w:color w:val="071D49"/>
        </w:rPr>
      </w:pPr>
    </w:p>
    <w:p>
      <w:pPr>
        <w:ind w:left="265" w:right="1040" w:hanging="265"/>
        <w:spacing w:after="0" w:line="246" w:lineRule="auto"/>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We do not pay dividends on unearned performance shares.</w:t>
      </w:r>
    </w:p>
    <w:p>
      <w:pPr>
        <w:spacing w:after="0" w:line="196" w:lineRule="exact"/>
        <w:rPr>
          <w:rFonts w:ascii="Arial" w:cs="Arial" w:eastAsia="Arial" w:hAnsi="Arial"/>
          <w:sz w:val="18"/>
          <w:szCs w:val="18"/>
          <w:b w:val="1"/>
          <w:bCs w:val="1"/>
          <w:color w:val="071D49"/>
        </w:rPr>
      </w:pPr>
    </w:p>
    <w:p>
      <w:pPr>
        <w:ind w:left="265" w:hanging="265"/>
        <w:spacing w:after="0"/>
        <w:tabs>
          <w:tab w:leader="none" w:pos="265" w:val="left"/>
        </w:tabs>
        <w:numPr>
          <w:ilvl w:val="0"/>
          <w:numId w:val="44"/>
        </w:numPr>
        <w:rPr>
          <w:rFonts w:ascii="Arial" w:cs="Arial" w:eastAsia="Arial" w:hAnsi="Arial"/>
          <w:sz w:val="18"/>
          <w:szCs w:val="18"/>
          <w:b w:val="1"/>
          <w:bCs w:val="1"/>
          <w:color w:val="071D49"/>
        </w:rPr>
      </w:pPr>
      <w:r>
        <w:rPr>
          <w:rFonts w:ascii="Arial" w:cs="Arial" w:eastAsia="Arial" w:hAnsi="Arial"/>
          <w:sz w:val="18"/>
          <w:szCs w:val="18"/>
          <w:color w:val="auto"/>
        </w:rPr>
        <w:t>We do not have single trigger change in control.</w:t>
      </w:r>
    </w:p>
    <w:p>
      <w:pPr>
        <w:spacing w:after="0" w:line="1440" w:lineRule="exact"/>
        <w:rPr>
          <w:sz w:val="20"/>
          <w:szCs w:val="20"/>
          <w:color w:val="auto"/>
        </w:rPr>
      </w:pPr>
    </w:p>
    <w:p>
      <w:pPr>
        <w:sectPr>
          <w:pgSz w:w="11900" w:h="16838" w:orient="portrait"/>
          <w:cols w:equalWidth="0" w:num="2">
            <w:col w:w="4280" w:space="675"/>
            <w:col w:w="4325"/>
          </w:cols>
          <w:pgMar w:left="1280" w:top="530" w:right="1339" w:bottom="1440" w:gutter="0" w:footer="0" w:header="0"/>
          <w:type w:val="continuous"/>
        </w:sectPr>
      </w:pPr>
    </w:p>
    <w:p>
      <w:pPr>
        <w:ind w:left="40" w:right="160"/>
        <w:spacing w:after="0" w:line="238" w:lineRule="auto"/>
        <w:rPr>
          <w:sz w:val="20"/>
          <w:szCs w:val="20"/>
          <w:color w:val="auto"/>
        </w:rPr>
      </w:pPr>
      <w:r>
        <w:rPr>
          <w:rFonts w:ascii="Arial" w:cs="Arial" w:eastAsia="Arial" w:hAnsi="Arial"/>
          <w:sz w:val="18"/>
          <w:szCs w:val="18"/>
          <w:color w:val="auto"/>
        </w:rPr>
        <w:t>On May 8, 2020, AbbVie completed the acquisition of Allergan plc (Allergan). The acquisition of Allergan created a diversified biopharmaceutical company positioned for success with a comprehensive product portfolio that has leadership positions in key therapeutic areas of immunology, hematologic oncology, aesthetics, neuroscience, and eye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18" w:val="left"/>
          <w:tab w:leader="none" w:pos="2360"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874395" cy="1625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341630</wp:posOffset>
            </wp:positionV>
            <wp:extent cx="58807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80"/>
          </w:cols>
          <w:pgMar w:left="1280" w:top="530" w:right="1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PERFORMANCE HIGHLIGHTS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AbbVie has delivered robust financial results since our launch in 2013</w:t>
      </w:r>
    </w:p>
    <w:p>
      <w:pPr>
        <w:sectPr>
          <w:pgSz w:w="11900" w:h="16838" w:orient="portrait"/>
          <w:cols w:equalWidth="0" w:num="1">
            <w:col w:w="9260"/>
          </w:cols>
          <w:pgMar w:left="1320" w:top="530" w:right="131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Adjusted Net Revenues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9"/>
              </w:rPr>
              <w:t>TSR</w:t>
            </w:r>
          </w:p>
        </w:tc>
        <w:tc>
          <w:tcPr>
            <w:tcW w:w="0" w:type="dxa"/>
            <w:vAlign w:val="bottom"/>
          </w:tcPr>
          <w:p>
            <w:pPr>
              <w:spacing w:after="0"/>
              <w:rPr>
                <w:sz w:val="1"/>
                <w:szCs w:val="1"/>
                <w:color w:val="auto"/>
              </w:rPr>
            </w:pPr>
          </w:p>
        </w:tc>
      </w:tr>
      <w:tr>
        <w:trPr>
          <w:trHeight w:val="744"/>
        </w:trPr>
        <w:tc>
          <w:tcPr>
            <w:tcW w:w="3000" w:type="dxa"/>
            <w:vAlign w:val="bottom"/>
          </w:tcPr>
          <w:p>
            <w:pPr>
              <w:jc w:val="right"/>
              <w:ind w:right="415"/>
              <w:spacing w:after="0" w:line="745" w:lineRule="exact"/>
              <w:rPr>
                <w:sz w:val="20"/>
                <w:szCs w:val="20"/>
                <w:color w:val="auto"/>
              </w:rPr>
            </w:pPr>
            <w:r>
              <w:rPr>
                <w:rFonts w:ascii="Arial" w:cs="Arial" w:eastAsia="Arial" w:hAnsi="Arial"/>
                <w:sz w:val="65"/>
                <w:szCs w:val="65"/>
                <w:color w:val="071D49"/>
              </w:rPr>
              <w:t>14.7%</w:t>
            </w:r>
          </w:p>
        </w:tc>
        <w:tc>
          <w:tcPr>
            <w:tcW w:w="100" w:type="dxa"/>
            <w:vAlign w:val="bottom"/>
          </w:tcPr>
          <w:p>
            <w:pPr>
              <w:spacing w:after="0"/>
              <w:rPr>
                <w:sz w:val="24"/>
                <w:szCs w:val="24"/>
                <w:color w:val="auto"/>
              </w:rPr>
            </w:pPr>
          </w:p>
        </w:tc>
        <w:tc>
          <w:tcPr>
            <w:tcW w:w="20" w:type="dxa"/>
            <w:vAlign w:val="bottom"/>
            <w:shd w:val="clear" w:color="auto" w:fill="071D49"/>
          </w:tcPr>
          <w:p>
            <w:pPr>
              <w:spacing w:after="0"/>
              <w:rPr>
                <w:sz w:val="24"/>
                <w:szCs w:val="24"/>
                <w:color w:val="auto"/>
              </w:rPr>
            </w:pPr>
          </w:p>
        </w:tc>
        <w:tc>
          <w:tcPr>
            <w:tcW w:w="3120" w:type="dxa"/>
            <w:vAlign w:val="bottom"/>
            <w:gridSpan w:val="2"/>
          </w:tcPr>
          <w:p>
            <w:pPr>
              <w:jc w:val="center"/>
              <w:spacing w:after="0" w:line="745" w:lineRule="exact"/>
              <w:rPr>
                <w:sz w:val="20"/>
                <w:szCs w:val="20"/>
                <w:color w:val="auto"/>
              </w:rPr>
            </w:pPr>
            <w:r>
              <w:rPr>
                <w:rFonts w:ascii="Arial" w:cs="Arial" w:eastAsia="Arial" w:hAnsi="Arial"/>
                <w:sz w:val="65"/>
                <w:szCs w:val="65"/>
                <w:color w:val="071D49"/>
                <w:w w:val="99"/>
              </w:rPr>
              <w:t>474.7%</w:t>
            </w:r>
          </w:p>
        </w:tc>
        <w:tc>
          <w:tcPr>
            <w:tcW w:w="0" w:type="dxa"/>
            <w:vAlign w:val="bottom"/>
          </w:tcPr>
          <w:p>
            <w:pPr>
              <w:spacing w:after="0"/>
              <w:rPr>
                <w:sz w:val="1"/>
                <w:szCs w:val="1"/>
                <w:color w:val="auto"/>
              </w:rPr>
            </w:pPr>
          </w:p>
        </w:tc>
      </w:tr>
      <w:tr>
        <w:trPr>
          <w:trHeight w:val="187"/>
        </w:trPr>
        <w:tc>
          <w:tcPr>
            <w:tcW w:w="3100" w:type="dxa"/>
            <w:vAlign w:val="bottom"/>
            <w:gridSpan w:val="2"/>
          </w:tcPr>
          <w:p>
            <w:pPr>
              <w:jc w:val="center"/>
              <w:ind w:right="60"/>
              <w:spacing w:after="0"/>
              <w:rPr>
                <w:sz w:val="20"/>
                <w:szCs w:val="20"/>
                <w:color w:val="auto"/>
              </w:rPr>
            </w:pPr>
            <w:r>
              <w:rPr>
                <w:rFonts w:ascii="Arial" w:cs="Arial" w:eastAsia="Arial" w:hAnsi="Arial"/>
                <w:sz w:val="16"/>
                <w:szCs w:val="16"/>
                <w:color w:val="auto"/>
              </w:rPr>
              <w:t>compound annual growth rate*</w:t>
            </w:r>
          </w:p>
        </w:tc>
        <w:tc>
          <w:tcPr>
            <w:tcW w:w="20" w:type="dxa"/>
            <w:vAlign w:val="bottom"/>
            <w:shd w:val="clear" w:color="auto" w:fill="071D49"/>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9 year total stockholder return</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71D49"/>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071D49"/>
            </w:tcBorders>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Market Capitalization Increase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rPr>
              <w:t>Quarterly Dividend Increase</w:t>
            </w:r>
          </w:p>
        </w:tc>
        <w:tc>
          <w:tcPr>
            <w:tcW w:w="0" w:type="dxa"/>
            <w:vAlign w:val="bottom"/>
          </w:tcPr>
          <w:p>
            <w:pPr>
              <w:spacing w:after="0"/>
              <w:rPr>
                <w:sz w:val="1"/>
                <w:szCs w:val="1"/>
                <w:color w:val="auto"/>
              </w:rPr>
            </w:pPr>
          </w:p>
        </w:tc>
      </w:tr>
      <w:tr>
        <w:trPr>
          <w:trHeight w:val="743"/>
        </w:trPr>
        <w:tc>
          <w:tcPr>
            <w:tcW w:w="3100" w:type="dxa"/>
            <w:vAlign w:val="bottom"/>
            <w:gridSpan w:val="2"/>
          </w:tcPr>
          <w:p>
            <w:pPr>
              <w:jc w:val="center"/>
              <w:ind w:right="100"/>
              <w:spacing w:after="0" w:line="742" w:lineRule="exact"/>
              <w:rPr>
                <w:sz w:val="20"/>
                <w:szCs w:val="20"/>
                <w:color w:val="auto"/>
              </w:rPr>
            </w:pPr>
            <w:r>
              <w:rPr>
                <w:rFonts w:ascii="Arial" w:cs="Arial" w:eastAsia="Arial" w:hAnsi="Arial"/>
                <w:sz w:val="65"/>
                <w:szCs w:val="65"/>
                <w:color w:val="071D49"/>
                <w:w w:val="99"/>
              </w:rPr>
              <w:t>~$185BN</w:t>
            </w:r>
          </w:p>
        </w:tc>
        <w:tc>
          <w:tcPr>
            <w:tcW w:w="20" w:type="dxa"/>
            <w:vAlign w:val="bottom"/>
            <w:shd w:val="clear" w:color="auto" w:fill="071D49"/>
          </w:tcPr>
          <w:p>
            <w:pPr>
              <w:spacing w:after="0"/>
              <w:rPr>
                <w:sz w:val="24"/>
                <w:szCs w:val="24"/>
                <w:color w:val="auto"/>
              </w:rPr>
            </w:pPr>
          </w:p>
        </w:tc>
        <w:tc>
          <w:tcPr>
            <w:tcW w:w="3120" w:type="dxa"/>
            <w:vAlign w:val="bottom"/>
            <w:gridSpan w:val="2"/>
          </w:tcPr>
          <w:p>
            <w:pPr>
              <w:jc w:val="center"/>
              <w:spacing w:after="0" w:line="742" w:lineRule="exact"/>
              <w:rPr>
                <w:sz w:val="20"/>
                <w:szCs w:val="20"/>
                <w:color w:val="auto"/>
              </w:rPr>
            </w:pPr>
            <w:r>
              <w:rPr>
                <w:rFonts w:ascii="Arial" w:cs="Arial" w:eastAsia="Arial" w:hAnsi="Arial"/>
                <w:sz w:val="65"/>
                <w:szCs w:val="65"/>
                <w:color w:val="071D49"/>
                <w:w w:val="99"/>
              </w:rPr>
              <w:t>&gt;250%</w:t>
            </w:r>
          </w:p>
        </w:tc>
        <w:tc>
          <w:tcPr>
            <w:tcW w:w="0" w:type="dxa"/>
            <w:vAlign w:val="bottom"/>
          </w:tcPr>
          <w:p>
            <w:pPr>
              <w:spacing w:after="0"/>
              <w:rPr>
                <w:sz w:val="1"/>
                <w:szCs w:val="1"/>
                <w:color w:val="auto"/>
              </w:rPr>
            </w:pPr>
          </w:p>
        </w:tc>
      </w:tr>
      <w:tr>
        <w:trPr>
          <w:trHeight w:val="191"/>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rPr>
              <w:t>added significant stockholder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raised to $1.41 per share from $0.40 per</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share at inception</w:t>
            </w:r>
          </w:p>
        </w:tc>
        <w:tc>
          <w:tcPr>
            <w:tcW w:w="0" w:type="dxa"/>
            <w:vAlign w:val="bottom"/>
          </w:tcPr>
          <w:p>
            <w:pPr>
              <w:spacing w:after="0"/>
              <w:rPr>
                <w:sz w:val="1"/>
                <w:szCs w:val="1"/>
                <w:color w:val="auto"/>
              </w:rPr>
            </w:pPr>
          </w:p>
        </w:tc>
      </w:tr>
      <w:tr>
        <w:trPr>
          <w:trHeight w:val="188"/>
        </w:trPr>
        <w:tc>
          <w:tcPr>
            <w:tcW w:w="3000" w:type="dxa"/>
            <w:vAlign w:val="bottom"/>
            <w:tcBorders>
              <w:bottom w:val="single" w:sz="8" w:color="071D49"/>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3020" w:type="dxa"/>
            <w:vAlign w:val="bottom"/>
            <w:tcBorders>
              <w:bottom w:val="single" w:sz="8" w:color="071D49"/>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gridSpan w:val="2"/>
            <w:vMerge w:val="restart"/>
          </w:tcPr>
          <w:p>
            <w:pPr>
              <w:jc w:val="center"/>
              <w:ind w:right="100"/>
              <w:spacing w:after="0"/>
              <w:rPr>
                <w:sz w:val="20"/>
                <w:szCs w:val="20"/>
                <w:color w:val="auto"/>
              </w:rPr>
            </w:pPr>
            <w:r>
              <w:rPr>
                <w:rFonts w:ascii="Arial" w:cs="Arial" w:eastAsia="Arial" w:hAnsi="Arial"/>
                <w:sz w:val="50"/>
                <w:szCs w:val="50"/>
                <w:color w:val="071D49"/>
              </w:rPr>
              <w:t>1,400 bps</w:t>
            </w:r>
          </w:p>
        </w:tc>
        <w:tc>
          <w:tcPr>
            <w:tcW w:w="20" w:type="dxa"/>
            <w:vAlign w:val="bottom"/>
          </w:tcPr>
          <w:p>
            <w:pPr>
              <w:spacing w:after="0"/>
              <w:rPr>
                <w:sz w:val="16"/>
                <w:szCs w:val="16"/>
                <w:color w:val="auto"/>
              </w:rPr>
            </w:pPr>
          </w:p>
        </w:tc>
        <w:tc>
          <w:tcPr>
            <w:tcW w:w="3120" w:type="dxa"/>
            <w:vAlign w:val="bottom"/>
            <w:gridSpan w:val="2"/>
            <w:vMerge w:val="restart"/>
          </w:tcPr>
          <w:p>
            <w:pPr>
              <w:jc w:val="center"/>
              <w:spacing w:after="0"/>
              <w:rPr>
                <w:sz w:val="20"/>
                <w:szCs w:val="20"/>
                <w:color w:val="auto"/>
              </w:rPr>
            </w:pPr>
            <w:r>
              <w:rPr>
                <w:rFonts w:ascii="Arial" w:cs="Arial" w:eastAsia="Arial" w:hAnsi="Arial"/>
                <w:sz w:val="65"/>
                <w:szCs w:val="65"/>
                <w:color w:val="071D49"/>
                <w:w w:val="99"/>
              </w:rPr>
              <w:t>~90</w:t>
            </w:r>
          </w:p>
        </w:tc>
        <w:tc>
          <w:tcPr>
            <w:tcW w:w="0" w:type="dxa"/>
            <w:vAlign w:val="bottom"/>
          </w:tcPr>
          <w:p>
            <w:pPr>
              <w:spacing w:after="0"/>
              <w:rPr>
                <w:sz w:val="1"/>
                <w:szCs w:val="1"/>
                <w:color w:val="auto"/>
              </w:rPr>
            </w:pPr>
          </w:p>
        </w:tc>
      </w:tr>
      <w:tr>
        <w:trPr>
          <w:trHeight w:val="1072"/>
        </w:trPr>
        <w:tc>
          <w:tcPr>
            <w:tcW w:w="3100" w:type="dxa"/>
            <w:vAlign w:val="bottom"/>
            <w:gridSpan w:val="2"/>
            <w:vMerge w:val="continue"/>
          </w:tcPr>
          <w:p>
            <w:pPr>
              <w:spacing w:after="0"/>
              <w:rPr>
                <w:sz w:val="24"/>
                <w:szCs w:val="24"/>
                <w:color w:val="auto"/>
              </w:rPr>
            </w:pPr>
          </w:p>
        </w:tc>
        <w:tc>
          <w:tcPr>
            <w:tcW w:w="20" w:type="dxa"/>
            <w:vAlign w:val="bottom"/>
            <w:shd w:val="clear" w:color="auto" w:fill="071D49"/>
          </w:tcPr>
          <w:p>
            <w:pPr>
              <w:spacing w:after="0"/>
              <w:rPr>
                <w:sz w:val="24"/>
                <w:szCs w:val="24"/>
                <w:color w:val="auto"/>
              </w:rPr>
            </w:pPr>
          </w:p>
        </w:tc>
        <w:tc>
          <w:tcPr>
            <w:tcW w:w="3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100" w:type="dxa"/>
            <w:vAlign w:val="bottom"/>
            <w:gridSpan w:val="2"/>
          </w:tcPr>
          <w:p>
            <w:pPr>
              <w:jc w:val="center"/>
              <w:ind w:right="100"/>
              <w:spacing w:after="0"/>
              <w:rPr>
                <w:sz w:val="20"/>
                <w:szCs w:val="20"/>
                <w:color w:val="auto"/>
              </w:rPr>
            </w:pPr>
            <w:r>
              <w:rPr>
                <w:rFonts w:ascii="Arial" w:cs="Arial" w:eastAsia="Arial" w:hAnsi="Arial"/>
                <w:sz w:val="16"/>
                <w:szCs w:val="16"/>
                <w:color w:val="auto"/>
              </w:rPr>
              <w:t>operating margin expansion, adjusted*</w:t>
            </w:r>
          </w:p>
        </w:tc>
        <w:tc>
          <w:tcPr>
            <w:tcW w:w="2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active clinical development programs**</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71D49"/>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-1045210</wp:posOffset>
            </wp:positionV>
            <wp:extent cx="17145" cy="1045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045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-2014220</wp:posOffset>
            </wp:positionV>
            <wp:extent cx="17145" cy="4718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47180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-2990850</wp:posOffset>
            </wp:positionV>
            <wp:extent cx="17145" cy="5911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59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994"/>
        <w:spacing w:after="0"/>
        <w:rPr>
          <w:sz w:val="20"/>
          <w:szCs w:val="20"/>
          <w:color w:val="auto"/>
        </w:rPr>
      </w:pPr>
      <w:r>
        <w:rPr>
          <w:rFonts w:ascii="Arial" w:cs="Arial" w:eastAsia="Arial" w:hAnsi="Arial"/>
          <w:sz w:val="18"/>
          <w:szCs w:val="18"/>
          <w:b w:val="1"/>
          <w:bCs w:val="1"/>
          <w:color w:val="auto"/>
        </w:rPr>
        <w:t>Approvals</w:t>
      </w:r>
    </w:p>
    <w:p>
      <w:pPr>
        <w:spacing w:after="0" w:line="15" w:lineRule="exact"/>
        <w:rPr>
          <w:sz w:val="20"/>
          <w:szCs w:val="20"/>
          <w:color w:val="auto"/>
        </w:rPr>
      </w:pPr>
    </w:p>
    <w:p>
      <w:pPr>
        <w:jc w:val="center"/>
        <w:ind w:right="26"/>
        <w:spacing w:after="0"/>
        <w:rPr>
          <w:sz w:val="20"/>
          <w:szCs w:val="20"/>
          <w:color w:val="auto"/>
        </w:rPr>
      </w:pPr>
      <w:r>
        <w:rPr>
          <w:rFonts w:ascii="Arial" w:cs="Arial" w:eastAsia="Arial" w:hAnsi="Arial"/>
          <w:sz w:val="65"/>
          <w:szCs w:val="65"/>
          <w:color w:val="071D49"/>
        </w:rPr>
        <w:t>21</w:t>
      </w:r>
    </w:p>
    <w:p>
      <w:pPr>
        <w:ind w:left="94"/>
        <w:spacing w:after="0"/>
        <w:rPr>
          <w:sz w:val="20"/>
          <w:szCs w:val="20"/>
          <w:color w:val="auto"/>
        </w:rPr>
      </w:pPr>
      <w:r>
        <w:rPr>
          <w:rFonts w:ascii="Arial" w:cs="Arial" w:eastAsia="Arial" w:hAnsi="Arial"/>
          <w:sz w:val="16"/>
          <w:szCs w:val="16"/>
          <w:color w:val="auto"/>
        </w:rPr>
        <w:t>major product or indication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181737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17370" cy="17145"/>
                    </a:xfrm>
                    <a:prstGeom prst="rect">
                      <a:avLst/>
                    </a:prstGeom>
                    <a:noFill/>
                  </pic:spPr>
                </pic:pic>
              </a:graphicData>
            </a:graphic>
          </wp:anchor>
        </w:drawing>
      </w:r>
    </w:p>
    <w:p>
      <w:pPr>
        <w:spacing w:after="0" w:line="365" w:lineRule="exact"/>
        <w:rPr>
          <w:sz w:val="20"/>
          <w:szCs w:val="20"/>
          <w:color w:val="auto"/>
        </w:rPr>
      </w:pPr>
    </w:p>
    <w:p>
      <w:pPr>
        <w:ind w:left="514"/>
        <w:spacing w:after="0"/>
        <w:rPr>
          <w:sz w:val="20"/>
          <w:szCs w:val="20"/>
          <w:color w:val="auto"/>
        </w:rPr>
      </w:pPr>
      <w:r>
        <w:rPr>
          <w:rFonts w:ascii="Arial" w:cs="Arial" w:eastAsia="Arial" w:hAnsi="Arial"/>
          <w:sz w:val="18"/>
          <w:szCs w:val="18"/>
          <w:b w:val="1"/>
          <w:bCs w:val="1"/>
          <w:color w:val="auto"/>
        </w:rPr>
        <w:t>Adjusted Diluted EPS</w:t>
      </w:r>
    </w:p>
    <w:p>
      <w:pPr>
        <w:spacing w:after="0" w:line="13" w:lineRule="exact"/>
        <w:rPr>
          <w:sz w:val="20"/>
          <w:szCs w:val="20"/>
          <w:color w:val="auto"/>
        </w:rPr>
      </w:pPr>
    </w:p>
    <w:p>
      <w:pPr>
        <w:ind w:left="514"/>
        <w:spacing w:after="0"/>
        <w:rPr>
          <w:sz w:val="20"/>
          <w:szCs w:val="20"/>
          <w:color w:val="auto"/>
        </w:rPr>
      </w:pPr>
      <w:r>
        <w:rPr>
          <w:rFonts w:ascii="Arial" w:cs="Arial" w:eastAsia="Arial" w:hAnsi="Arial"/>
          <w:sz w:val="65"/>
          <w:szCs w:val="65"/>
          <w:color w:val="071D49"/>
        </w:rPr>
        <w:t>19.1%</w:t>
      </w:r>
    </w:p>
    <w:p>
      <w:pPr>
        <w:ind w:left="354"/>
        <w:spacing w:after="0"/>
        <w:rPr>
          <w:sz w:val="20"/>
          <w:szCs w:val="20"/>
          <w:color w:val="auto"/>
        </w:rPr>
      </w:pPr>
      <w:r>
        <w:rPr>
          <w:rFonts w:ascii="Arial" w:cs="Arial" w:eastAsia="Arial" w:hAnsi="Arial"/>
          <w:sz w:val="16"/>
          <w:szCs w:val="16"/>
          <w:color w:val="auto"/>
        </w:rPr>
        <w:t>compound annual growth rate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236220</wp:posOffset>
            </wp:positionV>
            <wp:extent cx="181737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1737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34" w:right="320"/>
        <w:spacing w:after="0" w:line="254" w:lineRule="auto"/>
        <w:rPr>
          <w:sz w:val="20"/>
          <w:szCs w:val="20"/>
          <w:color w:val="auto"/>
        </w:rPr>
      </w:pPr>
      <w:r>
        <w:rPr>
          <w:rFonts w:ascii="Arial" w:cs="Arial" w:eastAsia="Arial" w:hAnsi="Arial"/>
          <w:sz w:val="14"/>
          <w:szCs w:val="14"/>
          <w:b w:val="1"/>
          <w:bCs w:val="1"/>
          <w:color w:val="auto"/>
        </w:rPr>
        <w:t>The measures set forth in this table were calculated as of 12/31/2021.</w:t>
      </w:r>
    </w:p>
    <w:p>
      <w:pPr>
        <w:spacing w:after="0" w:line="1" w:lineRule="exact"/>
        <w:rPr>
          <w:sz w:val="20"/>
          <w:szCs w:val="20"/>
          <w:color w:val="auto"/>
        </w:rPr>
      </w:pPr>
    </w:p>
    <w:p>
      <w:pPr>
        <w:ind w:left="134" w:right="140" w:hanging="134"/>
        <w:spacing w:after="0" w:line="241" w:lineRule="auto"/>
        <w:tabs>
          <w:tab w:leader="none" w:pos="1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Net revenues, diluted earnings per share and operating margin are adjusted to exclude certain specified items and are</w:t>
      </w:r>
    </w:p>
    <w:p>
      <w:pPr>
        <w:spacing w:after="0" w:line="1" w:lineRule="exact"/>
        <w:rPr>
          <w:sz w:val="20"/>
          <w:szCs w:val="20"/>
          <w:color w:val="auto"/>
        </w:rPr>
      </w:pPr>
    </w:p>
    <w:p>
      <w:pPr>
        <w:ind w:left="134" w:right="680"/>
        <w:spacing w:after="0" w:line="241" w:lineRule="auto"/>
        <w:rPr>
          <w:sz w:val="20"/>
          <w:szCs w:val="20"/>
          <w:color w:val="auto"/>
        </w:rPr>
      </w:pPr>
      <w:r>
        <w:rPr>
          <w:rFonts w:ascii="Arial" w:cs="Arial" w:eastAsia="Arial" w:hAnsi="Arial"/>
          <w:sz w:val="14"/>
          <w:szCs w:val="14"/>
          <w:color w:val="auto"/>
        </w:rPr>
        <w:t>non-GAAP measures, which are reconciled in Appendix B.</w:t>
      </w:r>
    </w:p>
    <w:p>
      <w:pPr>
        <w:spacing w:after="0" w:line="1" w:lineRule="exact"/>
        <w:rPr>
          <w:sz w:val="20"/>
          <w:szCs w:val="20"/>
          <w:color w:val="auto"/>
        </w:rPr>
      </w:pPr>
    </w:p>
    <w:p>
      <w:pPr>
        <w:ind w:left="134" w:right="420" w:hanging="134"/>
        <w:spacing w:after="0" w:line="258" w:lineRule="auto"/>
        <w:tabs>
          <w:tab w:leader="none" w:pos="15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development individually or under collaboration or license agreements</w:t>
      </w:r>
    </w:p>
    <w:p>
      <w:pPr>
        <w:spacing w:after="0" w:line="269" w:lineRule="exact"/>
        <w:rPr>
          <w:sz w:val="20"/>
          <w:szCs w:val="20"/>
          <w:color w:val="auto"/>
        </w:rPr>
      </w:pPr>
    </w:p>
    <w:p>
      <w:pPr>
        <w:sectPr>
          <w:pgSz w:w="11900" w:h="16838" w:orient="portrait"/>
          <w:cols w:equalWidth="0" w:num="2">
            <w:col w:w="6240" w:space="146"/>
            <w:col w:w="2874"/>
          </w:cols>
          <w:pgMar w:left="1320" w:top="530" w:right="1319" w:bottom="1440" w:gutter="0" w:footer="0" w:header="0"/>
          <w:type w:val="continuous"/>
        </w:sectPr>
      </w:pPr>
    </w:p>
    <w:p>
      <w:pPr>
        <w:ind w:right="60"/>
        <w:spacing w:after="0" w:line="237" w:lineRule="auto"/>
        <w:rPr>
          <w:sz w:val="20"/>
          <w:szCs w:val="20"/>
          <w:color w:val="auto"/>
        </w:rPr>
      </w:pPr>
      <w:r>
        <w:rPr>
          <w:rFonts w:ascii="Arial" w:cs="Arial" w:eastAsia="Arial" w:hAnsi="Arial"/>
          <w:sz w:val="18"/>
          <w:szCs w:val="18"/>
          <w:color w:val="auto"/>
        </w:rPr>
        <w:t>AbbVie has delivered a strong compound annual growth rate (CAGR) since inception on adjusted net revenues and adjusted diluted earnings per share (EPS), placing AbbVie in the top tier of its Health Care Peer Group. Additionally, AbbVie is committed to a robust return of capital to stockholders with an increase of more than 250% in its quarterly dividend since 2013 as part of a balanced and disciplined capital allocation program. AbbVie’s total stockholder return (TSR) since inception of 474.7% also places AbbVie in the top tier of its Health Care Peer Group, and more than 175 percentage points above the Standard &amp; Poor’s 500 Index and 285 percentage points above the NYSE Arca Pharmaceutical Index over the same time period.</w:t>
      </w:r>
    </w:p>
    <w:p>
      <w:pPr>
        <w:spacing w:after="0" w:line="279" w:lineRule="exact"/>
        <w:rPr>
          <w:sz w:val="20"/>
          <w:szCs w:val="20"/>
          <w:color w:val="auto"/>
        </w:rPr>
      </w:pPr>
    </w:p>
    <w:tbl>
      <w:tblPr>
        <w:tblLayout w:type="fixed"/>
        <w:tblInd w:w="1300" w:type="dxa"/>
        <w:tblCellMar>
          <w:top w:w="0" w:type="dxa"/>
          <w:left w:w="0" w:type="dxa"/>
          <w:bottom w:w="0" w:type="dxa"/>
          <w:right w:w="0" w:type="dxa"/>
        </w:tblCellMar>
      </w:tblPr>
      <w:tr>
        <w:trPr>
          <w:trHeight w:val="285"/>
        </w:trPr>
        <w:tc>
          <w:tcPr>
            <w:tcW w:w="3720" w:type="dxa"/>
            <w:vAlign w:val="bottom"/>
          </w:tcPr>
          <w:p>
            <w:pPr>
              <w:spacing w:after="0"/>
              <w:rPr>
                <w:sz w:val="20"/>
                <w:szCs w:val="20"/>
                <w:color w:val="auto"/>
              </w:rPr>
            </w:pPr>
            <w:r>
              <w:rPr>
                <w:rFonts w:ascii="Arial" w:cs="Arial" w:eastAsia="Arial" w:hAnsi="Arial"/>
                <w:sz w:val="22"/>
                <w:szCs w:val="22"/>
                <w:b w:val="1"/>
                <w:bCs w:val="1"/>
                <w:color w:val="071D49"/>
              </w:rPr>
              <w:t>Adjusted Net Revenues*</w:t>
            </w:r>
          </w:p>
        </w:tc>
        <w:tc>
          <w:tcPr>
            <w:tcW w:w="2760" w:type="dxa"/>
            <w:vAlign w:val="bottom"/>
          </w:tcPr>
          <w:p>
            <w:pPr>
              <w:ind w:left="1260"/>
              <w:spacing w:after="0"/>
              <w:rPr>
                <w:sz w:val="20"/>
                <w:szCs w:val="20"/>
                <w:color w:val="auto"/>
              </w:rPr>
            </w:pPr>
            <w:r>
              <w:rPr>
                <w:rFonts w:ascii="Arial" w:cs="Arial" w:eastAsia="Arial" w:hAnsi="Arial"/>
                <w:sz w:val="22"/>
                <w:szCs w:val="22"/>
                <w:b w:val="1"/>
                <w:bCs w:val="1"/>
                <w:color w:val="071D49"/>
                <w:w w:val="96"/>
              </w:rPr>
              <w:t>Adjusted EPS*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-160020</wp:posOffset>
            </wp:positionV>
            <wp:extent cx="5503545" cy="20231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035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1" w:type="dxa"/>
        <w:tblCellMar>
          <w:top w:w="0" w:type="dxa"/>
          <w:left w:w="0" w:type="dxa"/>
          <w:bottom w:w="0" w:type="dxa"/>
          <w:right w:w="0" w:type="dxa"/>
        </w:tblCellMar>
      </w:tblPr>
      <w:tr>
        <w:trPr>
          <w:trHeight w:val="420"/>
        </w:trPr>
        <w:tc>
          <w:tcPr>
            <w:tcW w:w="161" w:type="dxa"/>
            <w:vAlign w:val="bottom"/>
            <w:textDirection w:val="btLr"/>
          </w:tcPr>
          <w:p>
            <w:pPr>
              <w:spacing w:after="0"/>
              <w:rPr>
                <w:sz w:val="20"/>
                <w:szCs w:val="20"/>
                <w:color w:val="auto"/>
              </w:rPr>
            </w:pPr>
            <w:r>
              <w:rPr>
                <w:rFonts w:ascii="Arial" w:cs="Arial" w:eastAsia="Arial" w:hAnsi="Arial"/>
                <w:sz w:val="14"/>
                <w:szCs w:val="14"/>
                <w:color w:val="auto"/>
              </w:rPr>
              <w:t>($BN)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*Net revenues and diluted earnings per share are adjusted for specified items, including the impact of intangible asset amortization, and are non-GAAP measures, which are reconciled in Appendix B.</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36" w:name="page37"/>
    <w:bookmarkEnd w:id="3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134620</wp:posOffset>
            </wp:positionV>
            <wp:extent cx="5871845" cy="6172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71845" cy="617220"/>
                    </a:xfrm>
                    <a:prstGeom prst="rect">
                      <a:avLst/>
                    </a:prstGeom>
                    <a:noFill/>
                  </pic:spPr>
                </pic:pic>
              </a:graphicData>
            </a:graphic>
          </wp:anchor>
        </w:drawing>
      </w:r>
    </w:p>
    <w:p>
      <w:pPr>
        <w:spacing w:after="0" w:line="240" w:lineRule="exact"/>
        <w:rPr>
          <w:sz w:val="20"/>
          <w:szCs w:val="20"/>
          <w:color w:val="auto"/>
        </w:rPr>
      </w:pPr>
    </w:p>
    <w:p>
      <w:pPr>
        <w:ind w:left="101"/>
        <w:spacing w:after="0"/>
        <w:rPr>
          <w:sz w:val="20"/>
          <w:szCs w:val="20"/>
          <w:color w:val="auto"/>
        </w:rPr>
      </w:pPr>
      <w:r>
        <w:rPr>
          <w:rFonts w:ascii="Arial" w:cs="Arial" w:eastAsia="Arial" w:hAnsi="Arial"/>
          <w:sz w:val="22"/>
          <w:szCs w:val="22"/>
          <w:color w:val="071D49"/>
        </w:rPr>
        <w:t>NET REVENUES*</w:t>
      </w:r>
    </w:p>
    <w:p>
      <w:pPr>
        <w:spacing w:after="0" w:line="66" w:lineRule="exact"/>
        <w:rPr>
          <w:sz w:val="20"/>
          <w:szCs w:val="20"/>
          <w:color w:val="auto"/>
        </w:rPr>
      </w:pPr>
    </w:p>
    <w:p>
      <w:pPr>
        <w:ind w:left="221" w:right="220"/>
        <w:spacing w:after="0" w:line="253" w:lineRule="auto"/>
        <w:rPr>
          <w:sz w:val="20"/>
          <w:szCs w:val="20"/>
          <w:color w:val="auto"/>
        </w:rPr>
      </w:pPr>
      <w:r>
        <w:rPr>
          <w:rFonts w:ascii="Arial" w:cs="Arial" w:eastAsia="Arial" w:hAnsi="Arial"/>
          <w:sz w:val="16"/>
          <w:szCs w:val="16"/>
          <w:color w:val="auto"/>
        </w:rPr>
        <w:t>AbbVie reported worldwide net revenues of $56.1 billion in 2021. Worldwide net revenues increased by 23% on a reported basis or 11% on a comparable operational basis**, which included strong and balanced performance from immunology, hematologic oncology, aesthetics, and neuroscience.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5871845" cy="643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71845" cy="643255"/>
                    </a:xfrm>
                    <a:prstGeom prst="rect">
                      <a:avLst/>
                    </a:prstGeom>
                    <a:noFill/>
                  </pic:spPr>
                </pic:pic>
              </a:graphicData>
            </a:graphic>
          </wp:anchor>
        </w:drawing>
      </w:r>
    </w:p>
    <w:p>
      <w:pPr>
        <w:spacing w:after="0" w:line="159" w:lineRule="exact"/>
        <w:rPr>
          <w:sz w:val="20"/>
          <w:szCs w:val="20"/>
          <w:color w:val="auto"/>
        </w:rPr>
      </w:pPr>
    </w:p>
    <w:p>
      <w:pPr>
        <w:ind w:left="101"/>
        <w:spacing w:after="0"/>
        <w:rPr>
          <w:sz w:val="20"/>
          <w:szCs w:val="20"/>
          <w:color w:val="auto"/>
        </w:rPr>
      </w:pPr>
      <w:r>
        <w:rPr>
          <w:rFonts w:ascii="Arial" w:cs="Arial" w:eastAsia="Arial" w:hAnsi="Arial"/>
          <w:sz w:val="22"/>
          <w:szCs w:val="22"/>
          <w:color w:val="071D49"/>
        </w:rPr>
        <w:t>GROSS AND OPERATING MARGINS*</w:t>
      </w:r>
    </w:p>
    <w:p>
      <w:pPr>
        <w:spacing w:after="0" w:line="66" w:lineRule="exact"/>
        <w:rPr>
          <w:sz w:val="20"/>
          <w:szCs w:val="20"/>
          <w:color w:val="auto"/>
        </w:rPr>
      </w:pPr>
    </w:p>
    <w:p>
      <w:pPr>
        <w:ind w:left="221"/>
        <w:spacing w:after="0"/>
        <w:rPr>
          <w:sz w:val="20"/>
          <w:szCs w:val="20"/>
          <w:color w:val="auto"/>
        </w:rPr>
      </w:pPr>
      <w:r>
        <w:rPr>
          <w:rFonts w:ascii="Arial" w:cs="Arial" w:eastAsia="Arial" w:hAnsi="Arial"/>
          <w:sz w:val="16"/>
          <w:szCs w:val="16"/>
          <w:color w:val="auto"/>
        </w:rPr>
        <w:t>In 2021, AbbVie reported a gross margin of 69.0% on a GAAP basis or 83.2% of net revenues on an adjusted basis.</w:t>
      </w:r>
    </w:p>
    <w:p>
      <w:pPr>
        <w:spacing w:after="0" w:line="46" w:lineRule="exact"/>
        <w:rPr>
          <w:sz w:val="20"/>
          <w:szCs w:val="20"/>
          <w:color w:val="auto"/>
        </w:rPr>
      </w:pPr>
    </w:p>
    <w:p>
      <w:pPr>
        <w:ind w:left="221" w:right="560"/>
        <w:spacing w:after="0" w:line="260" w:lineRule="auto"/>
        <w:rPr>
          <w:sz w:val="20"/>
          <w:szCs w:val="20"/>
          <w:color w:val="auto"/>
        </w:rPr>
      </w:pPr>
      <w:r>
        <w:rPr>
          <w:rFonts w:ascii="Arial" w:cs="Arial" w:eastAsia="Arial" w:hAnsi="Arial"/>
          <w:sz w:val="16"/>
          <w:szCs w:val="16"/>
          <w:color w:val="auto"/>
        </w:rPr>
        <w:t>AbbVie’s operating margin was 31.9% on a GAAP basis or 50.3% of net revenues on an adjusted basis. The adjusted operating margin reflects an improvement of 230 basis points versus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80010</wp:posOffset>
            </wp:positionV>
            <wp:extent cx="5871845" cy="7632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71845" cy="763270"/>
                    </a:xfrm>
                    <a:prstGeom prst="rect">
                      <a:avLst/>
                    </a:prstGeom>
                    <a:noFill/>
                  </pic:spPr>
                </pic:pic>
              </a:graphicData>
            </a:graphic>
          </wp:anchor>
        </w:drawing>
      </w:r>
    </w:p>
    <w:p>
      <w:pPr>
        <w:spacing w:after="0" w:line="153" w:lineRule="exact"/>
        <w:rPr>
          <w:sz w:val="20"/>
          <w:szCs w:val="20"/>
          <w:color w:val="auto"/>
        </w:rPr>
      </w:pPr>
    </w:p>
    <w:p>
      <w:pPr>
        <w:ind w:left="101"/>
        <w:spacing w:after="0"/>
        <w:rPr>
          <w:sz w:val="20"/>
          <w:szCs w:val="20"/>
          <w:color w:val="auto"/>
        </w:rPr>
      </w:pPr>
      <w:r>
        <w:rPr>
          <w:rFonts w:ascii="Arial" w:cs="Arial" w:eastAsia="Arial" w:hAnsi="Arial"/>
          <w:sz w:val="22"/>
          <w:szCs w:val="22"/>
          <w:color w:val="071D49"/>
        </w:rPr>
        <w:t>EARNINGS PER SHARE*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 2021, AbbVie reported full-year diluted EPS of $6.45 on a GAAP basis and adjusted diluted EPS of $12.70, up 20.3%.</w:t>
      </w:r>
    </w:p>
    <w:p>
      <w:pPr>
        <w:spacing w:after="0" w:line="46" w:lineRule="exact"/>
        <w:rPr>
          <w:sz w:val="20"/>
          <w:szCs w:val="20"/>
          <w:color w:val="auto"/>
        </w:rPr>
      </w:pPr>
    </w:p>
    <w:p>
      <w:pPr>
        <w:ind w:left="221" w:right="80"/>
        <w:spacing w:after="0" w:line="253" w:lineRule="auto"/>
        <w:rPr>
          <w:sz w:val="20"/>
          <w:szCs w:val="20"/>
          <w:color w:val="auto"/>
        </w:rPr>
      </w:pPr>
      <w:r>
        <w:rPr>
          <w:rFonts w:ascii="Arial" w:cs="Arial" w:eastAsia="Arial" w:hAnsi="Arial"/>
          <w:sz w:val="16"/>
          <w:szCs w:val="16"/>
          <w:color w:val="auto"/>
        </w:rPr>
        <w:t>For 2022, AbbVie provided a diluted EPS guidance range of $9.26 to $9.46 on a GAAP basis and $14.00 to $14.20 on an adjusted basis. The midpoint of the 2022 adjusted guidance represents growth of 11% over 2021, reflecting strong operating dynamics in the underlying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83820</wp:posOffset>
            </wp:positionV>
            <wp:extent cx="5871845" cy="12172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71845" cy="1217295"/>
                    </a:xfrm>
                    <a:prstGeom prst="rect">
                      <a:avLst/>
                    </a:prstGeom>
                    <a:noFill/>
                  </pic:spPr>
                </pic:pic>
              </a:graphicData>
            </a:graphic>
          </wp:anchor>
        </w:drawing>
      </w:r>
    </w:p>
    <w:p>
      <w:pPr>
        <w:spacing w:after="0" w:line="159" w:lineRule="exact"/>
        <w:rPr>
          <w:sz w:val="20"/>
          <w:szCs w:val="20"/>
          <w:color w:val="auto"/>
        </w:rPr>
      </w:pPr>
    </w:p>
    <w:p>
      <w:pPr>
        <w:ind w:left="101"/>
        <w:spacing w:after="0"/>
        <w:rPr>
          <w:sz w:val="20"/>
          <w:szCs w:val="20"/>
          <w:color w:val="auto"/>
        </w:rPr>
      </w:pPr>
      <w:r>
        <w:rPr>
          <w:rFonts w:ascii="Arial" w:cs="Arial" w:eastAsia="Arial" w:hAnsi="Arial"/>
          <w:sz w:val="22"/>
          <w:szCs w:val="22"/>
          <w:color w:val="071D49"/>
        </w:rPr>
        <w:t>REGULATORY MILESTONES</w:t>
      </w:r>
    </w:p>
    <w:p>
      <w:pPr>
        <w:spacing w:after="0" w:line="66" w:lineRule="exact"/>
        <w:rPr>
          <w:sz w:val="20"/>
          <w:szCs w:val="20"/>
          <w:color w:val="auto"/>
        </w:rPr>
      </w:pPr>
    </w:p>
    <w:p>
      <w:pPr>
        <w:ind w:left="221" w:right="80"/>
        <w:spacing w:after="0" w:line="248" w:lineRule="auto"/>
        <w:rPr>
          <w:sz w:val="20"/>
          <w:szCs w:val="20"/>
          <w:color w:val="auto"/>
        </w:rPr>
      </w:pPr>
      <w:r>
        <w:rPr>
          <w:rFonts w:ascii="Arial" w:cs="Arial" w:eastAsia="Arial" w:hAnsi="Arial"/>
          <w:sz w:val="16"/>
          <w:szCs w:val="16"/>
          <w:color w:val="auto"/>
        </w:rPr>
        <w:t>AbbVie also achieved a number of regulatory milestones in markets worldwide for several key products, including regulatory approvals for Skyrizi for the treatment of active psoriatic arthritis (PsA), Qulipta for the preventive treatment of episodic migraine in adults, Vuity for the treatment of presbyopia, and Rinvoq in three additional indications: for the treatment of adult patients with active psoriatic arthritis (PsA), for the treatment of adult patients with active ankylosing spondylitis (AS), and for the treatment of adults and adolescents with moderate to severe atopic dermatitis (AD). AbbVie also submitted regulatory applications for an additional indication of Skyrizi for the treatment of patients 16 years and older with moderate to severe Crohn’s Disease (CD) as well as Rinvoq in two additional indications: for the treatment of adults with moderately to severely active ulcerative colitis (UC) and for adults with non-radiographic axial spondyloarthritis (nr-AxSpa).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87630</wp:posOffset>
            </wp:positionV>
            <wp:extent cx="5871845" cy="9772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71845" cy="977265"/>
                    </a:xfrm>
                    <a:prstGeom prst="rect">
                      <a:avLst/>
                    </a:prstGeom>
                    <a:noFill/>
                  </pic:spPr>
                </pic:pic>
              </a:graphicData>
            </a:graphic>
          </wp:anchor>
        </w:drawing>
      </w:r>
    </w:p>
    <w:p>
      <w:pPr>
        <w:spacing w:after="0" w:line="165" w:lineRule="exact"/>
        <w:rPr>
          <w:sz w:val="20"/>
          <w:szCs w:val="20"/>
          <w:color w:val="auto"/>
        </w:rPr>
      </w:pPr>
    </w:p>
    <w:p>
      <w:pPr>
        <w:ind w:left="101"/>
        <w:spacing w:after="0"/>
        <w:rPr>
          <w:sz w:val="20"/>
          <w:szCs w:val="20"/>
          <w:color w:val="auto"/>
        </w:rPr>
      </w:pPr>
      <w:r>
        <w:rPr>
          <w:rFonts w:ascii="Arial" w:cs="Arial" w:eastAsia="Arial" w:hAnsi="Arial"/>
          <w:sz w:val="22"/>
          <w:szCs w:val="22"/>
          <w:color w:val="071D49"/>
        </w:rPr>
        <w:t>PIPELINE DEVELOPMENT</w:t>
      </w:r>
    </w:p>
    <w:p>
      <w:pPr>
        <w:spacing w:after="0" w:line="66" w:lineRule="exact"/>
        <w:rPr>
          <w:sz w:val="20"/>
          <w:szCs w:val="20"/>
          <w:color w:val="auto"/>
        </w:rPr>
      </w:pPr>
    </w:p>
    <w:p>
      <w:pPr>
        <w:ind w:left="221" w:right="160"/>
        <w:spacing w:after="0" w:line="249" w:lineRule="auto"/>
        <w:rPr>
          <w:sz w:val="20"/>
          <w:szCs w:val="20"/>
          <w:color w:val="auto"/>
        </w:rPr>
      </w:pPr>
      <w:r>
        <w:rPr>
          <w:rFonts w:ascii="Arial" w:cs="Arial" w:eastAsia="Arial" w:hAnsi="Arial"/>
          <w:sz w:val="16"/>
          <w:szCs w:val="16"/>
          <w:color w:val="auto"/>
        </w:rPr>
        <w:t>With more than 50 programs in mid- and late-stage development, AbbVie made significant pipeline advancements in 2021. In addition to several positive Phase 3 readouts across multiple indications for Skyrizi and Rinvoq, AbbVie also reported positive registration enabling data for Vraylar as an adjunctive treatment for patients with major depressive disorder (MDD) and ABBV-951, a potentially transformative therapy for patients with advanced Parkinson’s Disease. Several important Phase 3 programs are ongoing in other areas of our pipeline, including studies for Venclexta in multiple myeloma (MM) and myelodysplatic syndrome (MDS) and Navitoclax for mylefibrosis.</w:t>
      </w:r>
    </w:p>
    <w:p>
      <w:pPr>
        <w:spacing w:after="0" w:line="194" w:lineRule="exact"/>
        <w:rPr>
          <w:sz w:val="20"/>
          <w:szCs w:val="20"/>
          <w:color w:val="auto"/>
        </w:rPr>
      </w:pPr>
    </w:p>
    <w:p>
      <w:pPr>
        <w:ind w:left="1" w:right="460" w:hanging="1"/>
        <w:spacing w:after="0" w:line="241" w:lineRule="auto"/>
        <w:tabs>
          <w:tab w:leader="none" w:pos="97" w:val="left"/>
        </w:tabs>
        <w:numPr>
          <w:ilvl w:val="0"/>
          <w:numId w:val="47"/>
        </w:numPr>
        <w:rPr>
          <w:rFonts w:ascii="Arial" w:cs="Arial" w:eastAsia="Arial" w:hAnsi="Arial"/>
          <w:sz w:val="14"/>
          <w:szCs w:val="14"/>
          <w:color w:val="auto"/>
        </w:rPr>
      </w:pPr>
      <w:r>
        <w:rPr>
          <w:rFonts w:ascii="Arial" w:cs="Arial" w:eastAsia="Arial" w:hAnsi="Arial"/>
          <w:sz w:val="14"/>
          <w:szCs w:val="14"/>
          <w:color w:val="auto"/>
        </w:rPr>
        <w:t>Net revenues, adjusted gross and operating margins, and diluted earnings per share are adjusted for specified items and are non-GAAP measures, which are reconciled in Appendix B.</w:t>
      </w:r>
    </w:p>
    <w:p>
      <w:pPr>
        <w:ind w:left="1"/>
        <w:spacing w:after="0" w:line="249" w:lineRule="auto"/>
        <w:rPr>
          <w:rFonts w:ascii="Arial" w:cs="Arial" w:eastAsia="Arial" w:hAnsi="Arial"/>
          <w:sz w:val="14"/>
          <w:szCs w:val="14"/>
          <w:color w:val="auto"/>
        </w:rPr>
      </w:pPr>
      <w:r>
        <w:rPr>
          <w:rFonts w:ascii="Arial" w:cs="Arial" w:eastAsia="Arial" w:hAnsi="Arial"/>
          <w:sz w:val="14"/>
          <w:szCs w:val="14"/>
          <w:color w:val="auto"/>
        </w:rPr>
        <w:t>**Comparable operational comparisons include full-period current year and prior year results for Allergan products, as if the acquisition closed on January 1, 2020, and are presented at constant currency rates that reflect comparative local currency net revenues at the prior year’s foreign exchange rates.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34</w:t>
      </w:r>
      <w:r>
        <w:rPr>
          <w:sz w:val="20"/>
          <w:szCs w:val="20"/>
          <w:color w:val="auto"/>
        </w:rPr>
        <w:tab/>
      </w:r>
      <w:r>
        <w:rPr>
          <w:sz w:val="1"/>
          <w:szCs w:val="1"/>
          <w:color w:val="auto"/>
        </w:rPr>
        <w:drawing>
          <wp:inline distT="0" distB="0" distL="0" distR="0">
            <wp:extent cx="874395" cy="1631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01"/>
          </w:cols>
          <w:pgMar w:left="1319" w:top="530" w:right="1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Performance Relative to Peer Group*</w:t>
      </w:r>
    </w:p>
    <w:p>
      <w:pPr>
        <w:spacing w:after="0" w:line="13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AbbVie is in the top tier of its peers on several financial measures. The chart below outlines AbbVie’s eight-year performance relative to its 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125730</wp:posOffset>
            </wp:positionV>
            <wp:extent cx="5760720" cy="48945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60720"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*Rankings based on financial results as initially reported by AbbVie and peers in each respective fiscal year and may not be adjusted for the impact of mergers, acquisitions, and/or divestitures.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-539115</wp:posOffset>
            </wp:positionV>
            <wp:extent cx="87439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(TSR)</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Since becoming a public company in 2013, AbbVie has delivered a total stockholder return of 474.7%, which places AbbVie in the top tier of its Health Care Peers and surpasses the cumulative total returns of the Standard &amp; Poor’s 500 Index and the NYSE Arca Pharmaceutical Index, as shown in the graph below. The graph covers the period from January 2, 2013 (the first day AbbVie’s common stock began “regular-way” trading on the NYSE) through December 31, 2021. The graph assumes $100 was invested in AbbVie common stock and each index on January 2, 2013 and also assumes the reinvestment of dividends. The stock price performance in the following graph is not necessarily indicative of future stock price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Comparison of Cumulative Total Return since AbbVie’s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5760720" cy="2597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874395" cy="16319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EXECUTIVE COMPENSATION</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COMPONENTS OF OUR COMPENSATION PROGRAM</w:t>
      </w:r>
    </w:p>
    <w:p>
      <w:pPr>
        <w:spacing w:after="0" w:line="126" w:lineRule="exact"/>
        <w:rPr>
          <w:sz w:val="20"/>
          <w:szCs w:val="20"/>
          <w:color w:val="auto"/>
        </w:rPr>
      </w:pPr>
    </w:p>
    <w:p>
      <w:pPr>
        <w:ind w:left="100" w:right="100"/>
        <w:spacing w:after="0" w:line="238" w:lineRule="auto"/>
        <w:rPr>
          <w:sz w:val="20"/>
          <w:szCs w:val="20"/>
          <w:color w:val="auto"/>
        </w:rPr>
      </w:pPr>
      <w:r>
        <w:rPr>
          <w:rFonts w:ascii="Arial" w:cs="Arial" w:eastAsia="Arial" w:hAnsi="Arial"/>
          <w:sz w:val="18"/>
          <w:szCs w:val="18"/>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compensation program are listed below.</w:t>
      </w:r>
    </w:p>
    <w:p>
      <w:pPr>
        <w:sectPr>
          <w:pgSz w:w="11900" w:h="16838" w:orient="portrait"/>
          <w:cols w:equalWidth="0" w:num="1">
            <w:col w:w="9260"/>
          </w:cols>
          <w:pgMar w:left="1320" w:top="530" w:right="1319" w:bottom="1440" w:gutter="0" w:footer="0" w:header="0"/>
        </w:sect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071D49"/>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1517015" cy="255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17015" cy="2554605"/>
                    </a:xfrm>
                    <a:prstGeom prst="rect">
                      <a:avLst/>
                    </a:prstGeom>
                    <a:noFill/>
                  </pic:spPr>
                </pic:pic>
              </a:graphicData>
            </a:graphic>
          </wp:anchor>
        </w:drawing>
      </w:r>
    </w:p>
    <w:p>
      <w:pPr>
        <w:spacing w:after="0" w:line="112" w:lineRule="exact"/>
        <w:rPr>
          <w:sz w:val="20"/>
          <w:szCs w:val="20"/>
          <w:color w:val="auto"/>
        </w:rPr>
      </w:pPr>
    </w:p>
    <w:p>
      <w:pPr>
        <w:ind w:left="100" w:right="200"/>
        <w:spacing w:after="0" w:line="251" w:lineRule="auto"/>
        <w:rPr>
          <w:sz w:val="20"/>
          <w:szCs w:val="20"/>
          <w:color w:val="auto"/>
        </w:rPr>
      </w:pPr>
      <w:r>
        <w:rPr>
          <w:rFonts w:ascii="Arial" w:cs="Arial" w:eastAsia="Arial" w:hAnsi="Arial"/>
          <w:sz w:val="16"/>
          <w:szCs w:val="16"/>
          <w:color w:val="auto"/>
        </w:rPr>
        <w:t>Designed to be competitive with market and industry norms, and to reflect individual performance</w:t>
      </w:r>
    </w:p>
    <w:p>
      <w:pPr>
        <w:spacing w:after="0" w:line="94" w:lineRule="exact"/>
        <w:rPr>
          <w:sz w:val="20"/>
          <w:szCs w:val="20"/>
          <w:color w:val="auto"/>
        </w:rPr>
      </w:pPr>
    </w:p>
    <w:p>
      <w:pPr>
        <w:ind w:left="100"/>
        <w:spacing w:after="0" w:line="248" w:lineRule="auto"/>
        <w:rPr>
          <w:sz w:val="20"/>
          <w:szCs w:val="20"/>
          <w:color w:val="auto"/>
        </w:rPr>
      </w:pPr>
      <w:r>
        <w:rPr>
          <w:rFonts w:ascii="Arial" w:cs="Arial" w:eastAsia="Arial" w:hAnsi="Arial"/>
          <w:sz w:val="16"/>
          <w:szCs w:val="16"/>
          <w:color w:val="auto"/>
        </w:rPr>
        <w:t>Individual salaries are established relative to market median based on each NEO’s individual performance, skills, and experience, and internal equity, as well as the company’s annual operating budget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-156210</wp:posOffset>
            </wp:positionV>
            <wp:extent cx="1362710" cy="255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62710" cy="25546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71D49"/>
        </w:rPr>
        <w:t>Incentives</w:t>
      </w:r>
    </w:p>
    <w:p>
      <w:pPr>
        <w:spacing w:after="0" w:line="86"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color w:val="auto"/>
        </w:rPr>
        <w:t>Performance Incentive Plan (PIP)</w:t>
      </w:r>
    </w:p>
    <w:p>
      <w:pPr>
        <w:ind w:right="80"/>
        <w:spacing w:after="0" w:line="253" w:lineRule="auto"/>
        <w:rPr>
          <w:sz w:val="20"/>
          <w:szCs w:val="20"/>
          <w:color w:val="auto"/>
        </w:rPr>
      </w:pPr>
      <w:r>
        <w:rPr>
          <w:rFonts w:ascii="Arial" w:cs="Arial" w:eastAsia="Arial" w:hAnsi="Arial"/>
          <w:sz w:val="16"/>
          <w:szCs w:val="16"/>
          <w:color w:val="auto"/>
        </w:rPr>
        <w:t>Based on non-GAAP performance measures such as: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Net revenues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 Income before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Operating margin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 Return on assets</w:t>
      </w:r>
    </w:p>
    <w:p>
      <w:pPr>
        <w:spacing w:after="0" w:line="45" w:lineRule="exact"/>
        <w:rPr>
          <w:sz w:val="20"/>
          <w:szCs w:val="20"/>
          <w:color w:val="auto"/>
        </w:rPr>
      </w:pPr>
    </w:p>
    <w:p>
      <w:pPr>
        <w:jc w:val="both"/>
        <w:ind w:right="560"/>
        <w:spacing w:after="0" w:line="260" w:lineRule="auto"/>
        <w:rPr>
          <w:sz w:val="20"/>
          <w:szCs w:val="20"/>
          <w:color w:val="auto"/>
        </w:rPr>
      </w:pPr>
      <w:r>
        <w:rPr>
          <w:rFonts w:ascii="Arial" w:cs="Arial" w:eastAsia="Arial" w:hAnsi="Arial"/>
          <w:sz w:val="16"/>
          <w:szCs w:val="16"/>
          <w:color w:val="auto"/>
        </w:rPr>
        <w:t>— Strategic and leadership goals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-156210</wp:posOffset>
            </wp:positionV>
            <wp:extent cx="1209040" cy="255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9040" cy="255460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71D49"/>
        </w:rPr>
        <w:t>Incentives</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 xml:space="preserve">80% </w:t>
      </w:r>
      <w:r>
        <w:rPr>
          <w:rFonts w:ascii="Arial" w:cs="Arial" w:eastAsia="Arial" w:hAnsi="Arial"/>
          <w:sz w:val="16"/>
          <w:szCs w:val="16"/>
          <w:color w:val="auto"/>
        </w:rPr>
        <w:t>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and performance-vested restricted stock units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color w:val="auto"/>
        </w:rPr>
        <w:t>Non-qualified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stock options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180"/>
        <w:spacing w:after="0" w:line="285" w:lineRule="auto"/>
        <w:rPr>
          <w:sz w:val="20"/>
          <w:szCs w:val="20"/>
          <w:color w:val="auto"/>
        </w:rPr>
      </w:pPr>
      <w:r>
        <w:rPr>
          <w:rFonts w:ascii="Arial" w:cs="Arial" w:eastAsia="Arial" w:hAnsi="Arial"/>
          <w:sz w:val="21"/>
          <w:szCs w:val="21"/>
          <w:b w:val="1"/>
          <w:bCs w:val="1"/>
          <w:color w:val="auto"/>
        </w:rPr>
        <w:t>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-428625</wp:posOffset>
            </wp:positionV>
            <wp:extent cx="1414145" cy="255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14145" cy="2554605"/>
                    </a:xfrm>
                    <a:prstGeom prst="rect">
                      <a:avLst/>
                    </a:prstGeom>
                    <a:noFill/>
                  </pic:spPr>
                </pic:pic>
              </a:graphicData>
            </a:graphic>
          </wp:anchor>
        </w:drawing>
      </w:r>
    </w:p>
    <w:p>
      <w:pPr>
        <w:spacing w:after="0" w:line="12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color w:val="auto"/>
        </w:rPr>
        <w:t xml:space="preserve">Align executive interests </w:t>
      </w:r>
      <w:r>
        <w:rPr>
          <w:rFonts w:ascii="Arial" w:cs="Arial" w:eastAsia="Arial" w:hAnsi="Arial"/>
          <w:sz w:val="16"/>
          <w:szCs w:val="16"/>
          <w:color w:val="auto"/>
        </w:rPr>
        <w:t>with the drivers of stockholder returns and profitable growth</w:t>
      </w:r>
    </w:p>
    <w:p>
      <w:pPr>
        <w:spacing w:after="0" w:line="19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 xml:space="preserve">Support achievement of the company’s </w:t>
      </w:r>
      <w:r>
        <w:rPr>
          <w:rFonts w:ascii="Arial" w:cs="Arial" w:eastAsia="Arial" w:hAnsi="Arial"/>
          <w:sz w:val="16"/>
          <w:szCs w:val="16"/>
          <w:b w:val="1"/>
          <w:bCs w:val="1"/>
          <w:color w:val="auto"/>
        </w:rPr>
        <w:t>primary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goals </w:t>
      </w:r>
      <w:r>
        <w:rPr>
          <w:rFonts w:ascii="Arial" w:cs="Arial" w:eastAsia="Arial" w:hAnsi="Arial"/>
          <w:sz w:val="16"/>
          <w:szCs w:val="16"/>
          <w:color w:val="auto"/>
        </w:rPr>
        <w:t>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remarkable impact on patients’ lives</w:t>
      </w:r>
    </w:p>
    <w:p>
      <w:pPr>
        <w:spacing w:after="0" w:line="18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b w:val="1"/>
          <w:bCs w:val="1"/>
          <w:color w:val="auto"/>
        </w:rPr>
        <w:t xml:space="preserve">Attract and retain world-class executives </w:t>
      </w:r>
      <w:r>
        <w:rPr>
          <w:rFonts w:ascii="Arial" w:cs="Arial" w:eastAsia="Arial" w:hAnsi="Arial"/>
          <w:sz w:val="16"/>
          <w:szCs w:val="16"/>
          <w:color w:val="auto"/>
        </w:rPr>
        <w:t>whose</w:t>
      </w:r>
      <w:r>
        <w:rPr>
          <w:rFonts w:ascii="Arial" w:cs="Arial" w:eastAsia="Arial" w:hAnsi="Arial"/>
          <w:sz w:val="16"/>
          <w:szCs w:val="16"/>
          <w:b w:val="1"/>
          <w:bCs w:val="1"/>
          <w:color w:val="auto"/>
        </w:rPr>
        <w:t xml:space="preserve"> </w:t>
      </w:r>
      <w:r>
        <w:rPr>
          <w:rFonts w:ascii="Arial" w:cs="Arial" w:eastAsia="Arial" w:hAnsi="Arial"/>
          <w:sz w:val="16"/>
          <w:szCs w:val="16"/>
          <w:color w:val="auto"/>
        </w:rPr>
        <w:t>talents and contributions sustain the growth in long-term stockholder value</w:t>
      </w:r>
    </w:p>
    <w:p>
      <w:pPr>
        <w:spacing w:after="0" w:line="200" w:lineRule="exact"/>
        <w:rPr>
          <w:sz w:val="20"/>
          <w:szCs w:val="20"/>
          <w:color w:val="auto"/>
        </w:rPr>
      </w:pPr>
    </w:p>
    <w:p>
      <w:pPr>
        <w:sectPr>
          <w:pgSz w:w="11900" w:h="16838" w:orient="portrait"/>
          <w:cols w:equalWidth="0" w:num="4">
            <w:col w:w="2240" w:space="440"/>
            <w:col w:w="1740" w:space="580"/>
            <w:col w:w="1480" w:space="660"/>
            <w:col w:w="2120"/>
          </w:cols>
          <w:pgMar w:left="1320" w:top="530" w:right="1319" w:bottom="1440" w:gutter="0" w:footer="0" w:header="0"/>
          <w:type w:val="continuous"/>
        </w:sectPr>
      </w:pPr>
    </w:p>
    <w:p>
      <w:pPr>
        <w:spacing w:after="0" w:line="19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compensation committee is dedicated to ensuring that a substantial portion of executive compensation is “at-risk” and variable. Generally, more than three-fourths of our NEOs’ total direct compensation is variable and directly affected by both the company’s and the NEO’s performance.</w:t>
      </w:r>
    </w:p>
    <w:p>
      <w:pPr>
        <w:spacing w:after="0" w:line="95"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The committee believes the use of non-GAAP metrics to measure company performance for incentive plan purposes is appropriate. The use of certain non -GAAP metrics aligns NEOs to performance objectives that are commonly used to evaluate the performance of the company, provide accountability, and avoid inappropriate windfalls or penalties due to factors outside of their control. Importantly, both the goals and the financial performance are presented on a consistent non-GAAP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PERFORMANCE RESULTS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performance targets established under our annual and long-term incentive plans are rigorous and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shown in the following table were carried by all of the NEOs as part of their 2021 performance goals. The specific weightings for each NEO are established at the start of each performance year based on the NEO’s role and anticipated contributions to the company’s annual objectives. Financial goals are set rigorously; achievement of these targets has resulted in top-tier industry performance.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40" w:name="page41"/>
    <w:bookmarkEnd w:id="40"/>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071D49"/>
        </w:rPr>
        <w:t>Financial Goals</w:t>
      </w:r>
    </w:p>
    <w:p>
      <w:pPr>
        <w:spacing w:after="0" w:line="131"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071D49"/>
              </w:rPr>
              <w:t>Goal and Expected Result</w:t>
            </w:r>
            <w:r>
              <w:rPr>
                <w:rFonts w:ascii="Arial" w:cs="Arial" w:eastAsia="Arial" w:hAnsi="Arial"/>
                <w:sz w:val="21"/>
                <w:szCs w:val="21"/>
                <w:b w:val="1"/>
                <w:bCs w:val="1"/>
                <w:color w:val="071D49"/>
                <w:vertAlign w:val="superscript"/>
              </w:rPr>
              <w:t>(1)</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290"/>
              <w:spacing w:after="0"/>
              <w:rPr>
                <w:sz w:val="20"/>
                <w:szCs w:val="20"/>
                <w:color w:val="auto"/>
              </w:rPr>
            </w:pPr>
            <w:r>
              <w:rPr>
                <w:rFonts w:ascii="Arial" w:cs="Arial" w:eastAsia="Arial" w:hAnsi="Arial"/>
                <w:sz w:val="14"/>
                <w:szCs w:val="14"/>
                <w:b w:val="1"/>
                <w:bCs w:val="1"/>
                <w:color w:val="071D49"/>
              </w:rPr>
              <w:t>2021 Target vs.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b w:val="1"/>
                <w:bCs w:val="1"/>
                <w:color w:val="071D49"/>
              </w:rPr>
              <w:t>2021 Actual vs.</w:t>
            </w:r>
          </w:p>
        </w:tc>
        <w:tc>
          <w:tcPr>
            <w:tcW w:w="0" w:type="dxa"/>
            <w:vAlign w:val="bottom"/>
          </w:tcPr>
          <w:p>
            <w:pPr>
              <w:spacing w:after="0"/>
              <w:rPr>
                <w:sz w:val="1"/>
                <w:szCs w:val="1"/>
                <w:color w:val="auto"/>
              </w:rPr>
            </w:pPr>
          </w:p>
        </w:tc>
      </w:tr>
      <w:tr>
        <w:trPr>
          <w:trHeight w:val="175"/>
        </w:trPr>
        <w:tc>
          <w:tcPr>
            <w:tcW w:w="2720" w:type="dxa"/>
            <w:vAlign w:val="bottom"/>
            <w:tcBorders>
              <w:bottom w:val="single" w:sz="8" w:color="071D49"/>
            </w:tcBorders>
            <w:vMerge w:val="continue"/>
          </w:tcPr>
          <w:p>
            <w:pPr>
              <w:spacing w:after="0"/>
              <w:rPr>
                <w:sz w:val="15"/>
                <w:szCs w:val="15"/>
                <w:color w:val="auto"/>
              </w:rPr>
            </w:pPr>
          </w:p>
        </w:tc>
        <w:tc>
          <w:tcPr>
            <w:tcW w:w="1420" w:type="dxa"/>
            <w:vAlign w:val="bottom"/>
            <w:tcBorders>
              <w:bottom w:val="single" w:sz="8" w:color="071D49"/>
            </w:tcBorders>
            <w:gridSpan w:val="2"/>
          </w:tcPr>
          <w:p>
            <w:pPr>
              <w:ind w:left="400"/>
              <w:spacing w:after="0"/>
              <w:rPr>
                <w:sz w:val="20"/>
                <w:szCs w:val="20"/>
                <w:color w:val="auto"/>
              </w:rPr>
            </w:pPr>
            <w:r>
              <w:rPr>
                <w:rFonts w:ascii="Arial" w:cs="Arial" w:eastAsia="Arial" w:hAnsi="Arial"/>
                <w:sz w:val="14"/>
                <w:szCs w:val="14"/>
                <w:b w:val="1"/>
                <w:bCs w:val="1"/>
                <w:color w:val="071D49"/>
              </w:rPr>
              <w:t>2020 Actual</w:t>
            </w:r>
          </w:p>
        </w:tc>
        <w:tc>
          <w:tcPr>
            <w:tcW w:w="1220" w:type="dxa"/>
            <w:vAlign w:val="bottom"/>
            <w:tcBorders>
              <w:bottom w:val="single" w:sz="8" w:color="071D49"/>
            </w:tcBorders>
            <w:gridSpan w:val="2"/>
          </w:tcPr>
          <w:p>
            <w:pPr>
              <w:ind w:left="40"/>
              <w:spacing w:after="0"/>
              <w:rPr>
                <w:sz w:val="20"/>
                <w:szCs w:val="20"/>
                <w:color w:val="auto"/>
              </w:rPr>
            </w:pPr>
            <w:r>
              <w:rPr>
                <w:rFonts w:ascii="Arial" w:cs="Arial" w:eastAsia="Arial" w:hAnsi="Arial"/>
                <w:sz w:val="14"/>
                <w:szCs w:val="14"/>
                <w:b w:val="1"/>
                <w:bCs w:val="1"/>
                <w:color w:val="071D49"/>
              </w:rPr>
              <w:t>2021 Target</w:t>
            </w:r>
          </w:p>
        </w:tc>
        <w:tc>
          <w:tcPr>
            <w:tcW w:w="1440" w:type="dxa"/>
            <w:vAlign w:val="bottom"/>
            <w:tcBorders>
              <w:bottom w:val="single" w:sz="8" w:color="071D49"/>
            </w:tcBorders>
          </w:tcPr>
          <w:p>
            <w:pPr>
              <w:jc w:val="right"/>
              <w:ind w:right="290"/>
              <w:spacing w:after="0"/>
              <w:rPr>
                <w:sz w:val="20"/>
                <w:szCs w:val="20"/>
                <w:color w:val="auto"/>
              </w:rPr>
            </w:pPr>
            <w:r>
              <w:rPr>
                <w:rFonts w:ascii="Arial" w:cs="Arial" w:eastAsia="Arial" w:hAnsi="Arial"/>
                <w:sz w:val="14"/>
                <w:szCs w:val="14"/>
                <w:b w:val="1"/>
                <w:bCs w:val="1"/>
                <w:color w:val="071D49"/>
              </w:rPr>
              <w:t>2020 Actual</w:t>
            </w:r>
          </w:p>
        </w:tc>
        <w:tc>
          <w:tcPr>
            <w:tcW w:w="1060" w:type="dxa"/>
            <w:vAlign w:val="bottom"/>
            <w:tcBorders>
              <w:bottom w:val="single" w:sz="8" w:color="071D49"/>
            </w:tcBorders>
            <w:gridSpan w:val="2"/>
          </w:tcPr>
          <w:p>
            <w:pPr>
              <w:ind w:left="40"/>
              <w:spacing w:after="0"/>
              <w:rPr>
                <w:sz w:val="20"/>
                <w:szCs w:val="20"/>
                <w:color w:val="auto"/>
              </w:rPr>
            </w:pPr>
            <w:r>
              <w:rPr>
                <w:rFonts w:ascii="Arial" w:cs="Arial" w:eastAsia="Arial" w:hAnsi="Arial"/>
                <w:sz w:val="14"/>
                <w:szCs w:val="14"/>
                <w:b w:val="1"/>
                <w:bCs w:val="1"/>
                <w:color w:val="071D49"/>
              </w:rPr>
              <w:t>2021 Actual</w:t>
            </w:r>
          </w:p>
        </w:tc>
        <w:tc>
          <w:tcPr>
            <w:tcW w:w="1240" w:type="dxa"/>
            <w:vAlign w:val="bottom"/>
            <w:tcBorders>
              <w:bottom w:val="single" w:sz="8" w:color="071D49"/>
            </w:tcBorders>
          </w:tcPr>
          <w:p>
            <w:pPr>
              <w:jc w:val="right"/>
              <w:ind w:right="88"/>
              <w:spacing w:after="0"/>
              <w:rPr>
                <w:sz w:val="20"/>
                <w:szCs w:val="20"/>
                <w:color w:val="auto"/>
              </w:rPr>
            </w:pPr>
            <w:r>
              <w:rPr>
                <w:rFonts w:ascii="Arial" w:cs="Arial" w:eastAsia="Arial" w:hAnsi="Arial"/>
                <w:sz w:val="14"/>
                <w:szCs w:val="14"/>
                <w:b w:val="1"/>
                <w:bCs w:val="1"/>
                <w:color w:val="071D49"/>
              </w:rPr>
              <w:t>2021 Target</w:t>
            </w:r>
          </w:p>
        </w:tc>
        <w:tc>
          <w:tcPr>
            <w:tcW w:w="0" w:type="dxa"/>
            <w:vAlign w:val="bottom"/>
          </w:tcPr>
          <w:p>
            <w:pPr>
              <w:spacing w:after="0"/>
              <w:rPr>
                <w:sz w:val="1"/>
                <w:szCs w:val="1"/>
                <w:color w:val="auto"/>
              </w:rPr>
            </w:pPr>
          </w:p>
        </w:tc>
      </w:tr>
      <w:tr>
        <w:trPr>
          <w:trHeight w:val="155"/>
        </w:trPr>
        <w:tc>
          <w:tcPr>
            <w:tcW w:w="272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A. Non</w:t>
            </w:r>
            <w:r>
              <w:rPr>
                <w:rFonts w:ascii="MS PGothic" w:cs="MS PGothic" w:eastAsia="MS PGothic" w:hAnsi="MS PGothic"/>
                <w:sz w:val="14"/>
                <w:szCs w:val="14"/>
                <w:color w:val="auto"/>
              </w:rPr>
              <w:t>‑</w:t>
            </w:r>
            <w:r>
              <w:rPr>
                <w:rFonts w:ascii="Arial" w:cs="Arial" w:eastAsia="Arial" w:hAnsi="Arial"/>
                <w:sz w:val="14"/>
                <w:szCs w:val="14"/>
                <w:color w:val="auto"/>
              </w:rPr>
              <w:t>GAAP Net Revenues</w:t>
            </w:r>
          </w:p>
        </w:tc>
        <w:tc>
          <w:tcPr>
            <w:tcW w:w="580" w:type="dxa"/>
            <w:vAlign w:val="bottom"/>
            <w:shd w:val="clear" w:color="auto" w:fill="D9D9D9"/>
          </w:tcPr>
          <w:p>
            <w:pPr>
              <w:ind w:left="4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line="156" w:lineRule="exact"/>
              <w:rPr>
                <w:sz w:val="20"/>
                <w:szCs w:val="20"/>
                <w:color w:val="auto"/>
              </w:rPr>
            </w:pPr>
            <w:r>
              <w:rPr>
                <w:rFonts w:ascii="Arial" w:cs="Arial" w:eastAsia="Arial" w:hAnsi="Arial"/>
                <w:sz w:val="13"/>
                <w:szCs w:val="13"/>
                <w:color w:val="auto"/>
              </w:rPr>
              <w:t xml:space="preserve">45.5 BN </w:t>
            </w:r>
            <w:r>
              <w:rPr>
                <w:rFonts w:ascii="Arial" w:cs="Arial" w:eastAsia="Arial" w:hAnsi="Arial"/>
                <w:sz w:val="18"/>
                <w:szCs w:val="18"/>
                <w:color w:val="auto"/>
                <w:vertAlign w:val="superscript"/>
              </w:rPr>
              <w:t>(2)</w:t>
            </w:r>
          </w:p>
        </w:tc>
        <w:tc>
          <w:tcPr>
            <w:tcW w:w="220" w:type="dxa"/>
            <w:vAlign w:val="bottom"/>
            <w:shd w:val="clear" w:color="auto" w:fill="D9D9D9"/>
          </w:tcPr>
          <w:p>
            <w:pPr>
              <w:ind w:left="40"/>
              <w:spacing w:after="0" w:line="155" w:lineRule="exact"/>
              <w:rPr>
                <w:sz w:val="20"/>
                <w:szCs w:val="20"/>
                <w:color w:val="auto"/>
              </w:rPr>
            </w:pPr>
            <w:r>
              <w:rPr>
                <w:rFonts w:ascii="Arial" w:cs="Arial" w:eastAsia="Arial" w:hAnsi="Arial"/>
                <w:sz w:val="14"/>
                <w:szCs w:val="14"/>
                <w:color w:val="auto"/>
              </w:rPr>
              <w:t>$</w:t>
            </w:r>
          </w:p>
        </w:tc>
        <w:tc>
          <w:tcPr>
            <w:tcW w:w="1000" w:type="dxa"/>
            <w:vAlign w:val="bottom"/>
            <w:shd w:val="clear" w:color="auto" w:fill="D9D9D9"/>
          </w:tcPr>
          <w:p>
            <w:pPr>
              <w:ind w:left="100"/>
              <w:spacing w:after="0" w:line="155" w:lineRule="exact"/>
              <w:rPr>
                <w:sz w:val="20"/>
                <w:szCs w:val="20"/>
                <w:color w:val="auto"/>
              </w:rPr>
            </w:pPr>
            <w:r>
              <w:rPr>
                <w:rFonts w:ascii="Arial" w:cs="Arial" w:eastAsia="Arial" w:hAnsi="Arial"/>
                <w:sz w:val="14"/>
                <w:szCs w:val="14"/>
                <w:color w:val="auto"/>
              </w:rPr>
              <w:t>55.0 BN</w:t>
            </w:r>
          </w:p>
        </w:tc>
        <w:tc>
          <w:tcPr>
            <w:tcW w:w="1440" w:type="dxa"/>
            <w:vAlign w:val="bottom"/>
            <w:shd w:val="clear" w:color="auto" w:fill="D9D9D9"/>
          </w:tcPr>
          <w:p>
            <w:pPr>
              <w:ind w:left="840"/>
              <w:spacing w:after="0" w:line="155" w:lineRule="exact"/>
              <w:rPr>
                <w:sz w:val="20"/>
                <w:szCs w:val="20"/>
                <w:color w:val="auto"/>
              </w:rPr>
            </w:pPr>
            <w:r>
              <w:rPr>
                <w:rFonts w:ascii="Arial" w:cs="Arial" w:eastAsia="Arial" w:hAnsi="Arial"/>
                <w:sz w:val="14"/>
                <w:szCs w:val="14"/>
                <w:color w:val="auto"/>
              </w:rPr>
              <w:t>121 %</w:t>
            </w:r>
          </w:p>
        </w:tc>
        <w:tc>
          <w:tcPr>
            <w:tcW w:w="220" w:type="dxa"/>
            <w:vAlign w:val="bottom"/>
            <w:shd w:val="clear" w:color="auto" w:fill="D9D9D9"/>
          </w:tcPr>
          <w:p>
            <w:pPr>
              <w:ind w:left="2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spacing w:after="0" w:line="156" w:lineRule="exact"/>
              <w:rPr>
                <w:sz w:val="20"/>
                <w:szCs w:val="20"/>
                <w:color w:val="auto"/>
              </w:rPr>
            </w:pPr>
            <w:r>
              <w:rPr>
                <w:rFonts w:ascii="Arial" w:cs="Arial" w:eastAsia="Arial" w:hAnsi="Arial"/>
                <w:sz w:val="13"/>
                <w:szCs w:val="13"/>
                <w:color w:val="auto"/>
              </w:rPr>
              <w:t xml:space="preserve">55.5 BN </w:t>
            </w:r>
            <w:r>
              <w:rPr>
                <w:rFonts w:ascii="Arial" w:cs="Arial" w:eastAsia="Arial" w:hAnsi="Arial"/>
                <w:sz w:val="18"/>
                <w:szCs w:val="18"/>
                <w:color w:val="auto"/>
                <w:vertAlign w:val="superscript"/>
              </w:rPr>
              <w:t>(2)</w:t>
            </w:r>
          </w:p>
        </w:tc>
        <w:tc>
          <w:tcPr>
            <w:tcW w:w="12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62"/>
        </w:trPr>
        <w:tc>
          <w:tcPr>
            <w:tcW w:w="2720" w:type="dxa"/>
            <w:vAlign w:val="bottom"/>
          </w:tcPr>
          <w:p>
            <w:pPr>
              <w:spacing w:after="0" w:line="161" w:lineRule="exact"/>
              <w:rPr>
                <w:sz w:val="20"/>
                <w:szCs w:val="20"/>
                <w:color w:val="auto"/>
              </w:rPr>
            </w:pPr>
            <w:r>
              <w:rPr>
                <w:rFonts w:ascii="Arial" w:cs="Arial" w:eastAsia="Arial" w:hAnsi="Arial"/>
                <w:sz w:val="14"/>
                <w:szCs w:val="14"/>
                <w:color w:val="auto"/>
              </w:rPr>
              <w:t>B. Non</w:t>
            </w:r>
            <w:r>
              <w:rPr>
                <w:rFonts w:ascii="MS PGothic" w:cs="MS PGothic" w:eastAsia="MS PGothic" w:hAnsi="MS PGothic"/>
                <w:sz w:val="14"/>
                <w:szCs w:val="14"/>
                <w:color w:val="auto"/>
              </w:rPr>
              <w:t>‑</w:t>
            </w:r>
            <w:r>
              <w:rPr>
                <w:rFonts w:ascii="Arial" w:cs="Arial" w:eastAsia="Arial" w:hAnsi="Arial"/>
                <w:sz w:val="14"/>
                <w:szCs w:val="14"/>
                <w:color w:val="auto"/>
              </w:rPr>
              <w:t>GAAP Income Before Taxes</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3"/>
                <w:szCs w:val="13"/>
                <w:color w:val="auto"/>
              </w:rPr>
              <w:t xml:space="preserve">20.1 BN </w:t>
            </w:r>
            <w:r>
              <w:rPr>
                <w:rFonts w:ascii="Arial" w:cs="Arial" w:eastAsia="Arial" w:hAnsi="Arial"/>
                <w:sz w:val="18"/>
                <w:szCs w:val="18"/>
                <w:color w:val="auto"/>
                <w:vertAlign w:val="superscript"/>
              </w:rPr>
              <w:t>(2)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25.4 BN</w:t>
            </w:r>
          </w:p>
        </w:tc>
        <w:tc>
          <w:tcPr>
            <w:tcW w:w="1440" w:type="dxa"/>
            <w:vAlign w:val="bottom"/>
          </w:tcPr>
          <w:p>
            <w:pPr>
              <w:ind w:left="840"/>
              <w:spacing w:after="0"/>
              <w:rPr>
                <w:sz w:val="20"/>
                <w:szCs w:val="20"/>
                <w:color w:val="auto"/>
              </w:rPr>
            </w:pPr>
            <w:r>
              <w:rPr>
                <w:rFonts w:ascii="Arial" w:cs="Arial" w:eastAsia="Arial" w:hAnsi="Arial"/>
                <w:sz w:val="14"/>
                <w:szCs w:val="14"/>
                <w:color w:val="auto"/>
              </w:rPr>
              <w:t>126 %</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3"/>
                <w:szCs w:val="13"/>
                <w:color w:val="auto"/>
              </w:rPr>
              <w:t xml:space="preserve">25.9 BN </w:t>
            </w:r>
            <w:r>
              <w:rPr>
                <w:rFonts w:ascii="Arial" w:cs="Arial" w:eastAsia="Arial" w:hAnsi="Arial"/>
                <w:sz w:val="18"/>
                <w:szCs w:val="18"/>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162"/>
        </w:trPr>
        <w:tc>
          <w:tcPr>
            <w:tcW w:w="2720" w:type="dxa"/>
            <w:vAlign w:val="bottom"/>
            <w:shd w:val="clear" w:color="auto" w:fill="D9D9D9"/>
          </w:tcPr>
          <w:p>
            <w:pPr>
              <w:spacing w:after="0"/>
              <w:rPr>
                <w:sz w:val="20"/>
                <w:szCs w:val="20"/>
                <w:color w:val="auto"/>
              </w:rPr>
            </w:pPr>
            <w:r>
              <w:rPr>
                <w:rFonts w:ascii="Arial" w:cs="Arial" w:eastAsia="Arial" w:hAnsi="Arial"/>
                <w:sz w:val="14"/>
                <w:szCs w:val="14"/>
                <w:color w:val="auto"/>
              </w:rPr>
              <w:t>C. Adjusted Return on Assets</w:t>
            </w:r>
          </w:p>
        </w:tc>
        <w:tc>
          <w:tcPr>
            <w:tcW w:w="58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22.1 %</w:t>
            </w:r>
          </w:p>
        </w:tc>
        <w:tc>
          <w:tcPr>
            <w:tcW w:w="220" w:type="dxa"/>
            <w:vAlign w:val="bottom"/>
            <w:shd w:val="clear" w:color="auto" w:fill="D9D9D9"/>
          </w:tcPr>
          <w:p>
            <w:pPr>
              <w:spacing w:after="0"/>
              <w:rPr>
                <w:sz w:val="14"/>
                <w:szCs w:val="14"/>
                <w:color w:val="auto"/>
              </w:rPr>
            </w:pPr>
          </w:p>
        </w:tc>
        <w:tc>
          <w:tcPr>
            <w:tcW w:w="1000" w:type="dxa"/>
            <w:vAlign w:val="bottom"/>
            <w:shd w:val="clear" w:color="auto" w:fill="D9D9D9"/>
          </w:tcPr>
          <w:p>
            <w:pPr>
              <w:jc w:val="right"/>
              <w:spacing w:after="0" w:line="162" w:lineRule="exact"/>
              <w:rPr>
                <w:sz w:val="20"/>
                <w:szCs w:val="20"/>
                <w:color w:val="auto"/>
              </w:rPr>
            </w:pPr>
            <w:r>
              <w:rPr>
                <w:rFonts w:ascii="Arial" w:cs="Arial" w:eastAsia="Arial" w:hAnsi="Arial"/>
                <w:sz w:val="13"/>
                <w:szCs w:val="13"/>
                <w:color w:val="auto"/>
              </w:rPr>
              <w:t xml:space="preserve">19.4 % </w:t>
            </w:r>
            <w:r>
              <w:rPr>
                <w:rFonts w:ascii="Arial" w:cs="Arial" w:eastAsia="Arial" w:hAnsi="Arial"/>
                <w:sz w:val="18"/>
                <w:szCs w:val="18"/>
                <w:color w:val="auto"/>
                <w:vertAlign w:val="superscript"/>
              </w:rPr>
              <w:t>(3)</w:t>
            </w:r>
          </w:p>
        </w:tc>
        <w:tc>
          <w:tcPr>
            <w:tcW w:w="1440" w:type="dxa"/>
            <w:vAlign w:val="bottom"/>
            <w:shd w:val="clear" w:color="auto" w:fill="D9D9D9"/>
          </w:tcPr>
          <w:p>
            <w:pPr>
              <w:ind w:left="840"/>
              <w:spacing w:after="0" w:line="162" w:lineRule="exact"/>
              <w:rPr>
                <w:sz w:val="20"/>
                <w:szCs w:val="20"/>
                <w:color w:val="auto"/>
              </w:rPr>
            </w:pPr>
            <w:r>
              <w:rPr>
                <w:rFonts w:ascii="Arial" w:cs="Arial" w:eastAsia="Arial" w:hAnsi="Arial"/>
                <w:sz w:val="13"/>
                <w:szCs w:val="13"/>
                <w:color w:val="auto"/>
              </w:rPr>
              <w:t xml:space="preserve">88  % </w:t>
            </w:r>
            <w:r>
              <w:rPr>
                <w:rFonts w:ascii="Arial" w:cs="Arial" w:eastAsia="Arial" w:hAnsi="Arial"/>
                <w:sz w:val="18"/>
                <w:szCs w:val="18"/>
                <w:color w:val="auto"/>
                <w:vertAlign w:val="superscript"/>
              </w:rPr>
              <w:t>(3)</w:t>
            </w:r>
          </w:p>
        </w:tc>
        <w:tc>
          <w:tcPr>
            <w:tcW w:w="220" w:type="dxa"/>
            <w:vAlign w:val="bottom"/>
            <w:shd w:val="clear" w:color="auto" w:fill="D9D9D9"/>
          </w:tcPr>
          <w:p>
            <w:pPr>
              <w:spacing w:after="0"/>
              <w:rPr>
                <w:sz w:val="14"/>
                <w:szCs w:val="14"/>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19.5 %</w:t>
            </w:r>
          </w:p>
        </w:tc>
        <w:tc>
          <w:tcPr>
            <w:tcW w:w="12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76"/>
        </w:trPr>
        <w:tc>
          <w:tcPr>
            <w:tcW w:w="2720" w:type="dxa"/>
            <w:vAlign w:val="bottom"/>
          </w:tcPr>
          <w:p>
            <w:pPr>
              <w:spacing w:after="0" w:line="161" w:lineRule="exact"/>
              <w:rPr>
                <w:sz w:val="20"/>
                <w:szCs w:val="20"/>
                <w:color w:val="auto"/>
              </w:rPr>
            </w:pPr>
            <w:r>
              <w:rPr>
                <w:rFonts w:ascii="Arial" w:cs="Arial" w:eastAsia="Arial" w:hAnsi="Arial"/>
                <w:sz w:val="14"/>
                <w:szCs w:val="14"/>
                <w:color w:val="auto"/>
              </w:rPr>
              <w:t>D. Non</w:t>
            </w:r>
            <w:r>
              <w:rPr>
                <w:rFonts w:ascii="MS PGothic" w:cs="MS PGothic" w:eastAsia="MS PGothic" w:hAnsi="MS PGothic"/>
                <w:sz w:val="14"/>
                <w:szCs w:val="14"/>
                <w:color w:val="auto"/>
              </w:rPr>
              <w:t>‑</w:t>
            </w:r>
            <w:r>
              <w:rPr>
                <w:rFonts w:ascii="Arial" w:cs="Arial" w:eastAsia="Arial" w:hAnsi="Arial"/>
                <w:sz w:val="14"/>
                <w:szCs w:val="14"/>
                <w:color w:val="auto"/>
              </w:rPr>
              <w:t>GAAP Operating Margin</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 xml:space="preserve">22.1 BN </w:t>
            </w:r>
            <w:r>
              <w:rPr>
                <w:rFonts w:ascii="Arial" w:cs="Arial" w:eastAsia="Arial" w:hAnsi="Arial"/>
                <w:sz w:val="21"/>
                <w:szCs w:val="21"/>
                <w:color w:val="auto"/>
                <w:vertAlign w:val="superscript"/>
              </w:rPr>
              <w:t>(2)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1000" w:type="dxa"/>
            <w:vAlign w:val="bottom"/>
          </w:tcPr>
          <w:p>
            <w:pPr>
              <w:ind w:left="100"/>
              <w:spacing w:after="0"/>
              <w:rPr>
                <w:sz w:val="20"/>
                <w:szCs w:val="20"/>
                <w:color w:val="auto"/>
              </w:rPr>
            </w:pPr>
            <w:r>
              <w:rPr>
                <w:rFonts w:ascii="Arial" w:cs="Arial" w:eastAsia="Arial" w:hAnsi="Arial"/>
                <w:sz w:val="14"/>
                <w:szCs w:val="14"/>
                <w:color w:val="auto"/>
              </w:rPr>
              <w:t>27.8 BN</w:t>
            </w:r>
          </w:p>
        </w:tc>
        <w:tc>
          <w:tcPr>
            <w:tcW w:w="1440" w:type="dxa"/>
            <w:vAlign w:val="bottom"/>
          </w:tcPr>
          <w:p>
            <w:pPr>
              <w:ind w:left="840"/>
              <w:spacing w:after="0"/>
              <w:rPr>
                <w:sz w:val="20"/>
                <w:szCs w:val="20"/>
                <w:color w:val="auto"/>
              </w:rPr>
            </w:pPr>
            <w:r>
              <w:rPr>
                <w:rFonts w:ascii="Arial" w:cs="Arial" w:eastAsia="Arial" w:hAnsi="Arial"/>
                <w:sz w:val="14"/>
                <w:szCs w:val="14"/>
                <w:color w:val="auto"/>
              </w:rPr>
              <w:t>126 %</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 xml:space="preserve">28.2 BN </w:t>
            </w:r>
            <w:r>
              <w:rPr>
                <w:rFonts w:ascii="Arial" w:cs="Arial" w:eastAsia="Arial" w:hAnsi="Arial"/>
                <w:sz w:val="21"/>
                <w:szCs w:val="21"/>
                <w:color w:val="auto"/>
                <w:vertAlign w:val="superscript"/>
              </w:rPr>
              <w:t>(2)</w:t>
            </w:r>
          </w:p>
        </w:tc>
        <w:tc>
          <w:tcPr>
            <w:tcW w:w="1240" w:type="dxa"/>
            <w:vAlign w:val="bottom"/>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1474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1" w:lineRule="exact"/>
        <w:rPr>
          <w:sz w:val="20"/>
          <w:szCs w:val="20"/>
          <w:color w:val="auto"/>
        </w:rPr>
      </w:pPr>
    </w:p>
    <w:p>
      <w:pPr>
        <w:ind w:left="321" w:hanging="321"/>
        <w:spacing w:after="0"/>
        <w:tabs>
          <w:tab w:leader="none" w:pos="3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achieved reflect certain specified items, which are reconciled in Appendix B.</w:t>
      </w:r>
    </w:p>
    <w:p>
      <w:pPr>
        <w:spacing w:after="0" w:line="211" w:lineRule="exact"/>
        <w:rPr>
          <w:rFonts w:ascii="Arial" w:cs="Arial" w:eastAsia="Arial" w:hAnsi="Arial"/>
          <w:sz w:val="18"/>
          <w:szCs w:val="18"/>
          <w:color w:val="auto"/>
        </w:rPr>
      </w:pPr>
    </w:p>
    <w:p>
      <w:pPr>
        <w:ind w:left="321" w:hanging="321"/>
        <w:spacing w:after="0"/>
        <w:tabs>
          <w:tab w:leader="none" w:pos="3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on a constant currency basis.</w:t>
      </w:r>
    </w:p>
    <w:p>
      <w:pPr>
        <w:spacing w:after="0" w:line="211" w:lineRule="exact"/>
        <w:rPr>
          <w:rFonts w:ascii="Arial" w:cs="Arial" w:eastAsia="Arial" w:hAnsi="Arial"/>
          <w:sz w:val="18"/>
          <w:szCs w:val="18"/>
          <w:color w:val="auto"/>
        </w:rPr>
      </w:pPr>
    </w:p>
    <w:p>
      <w:pPr>
        <w:ind w:left="321" w:right="280" w:hanging="321"/>
        <w:spacing w:after="0" w:line="246" w:lineRule="auto"/>
        <w:tabs>
          <w:tab w:leader="none" w:pos="3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2020 Actual included only 8 months of Allergan’s results; 2021 Target reflects 12 months of Allergan’s impact and the overall larger asset base due to Allergan.</w:t>
      </w:r>
    </w:p>
    <w:p>
      <w:pPr>
        <w:spacing w:after="0" w:line="183" w:lineRule="exact"/>
        <w:rPr>
          <w:sz w:val="20"/>
          <w:szCs w:val="20"/>
          <w:color w:val="auto"/>
        </w:rPr>
      </w:pPr>
    </w:p>
    <w:p>
      <w:pPr>
        <w:ind w:left="1"/>
        <w:spacing w:after="0" w:line="246" w:lineRule="auto"/>
        <w:rPr>
          <w:sz w:val="20"/>
          <w:szCs w:val="20"/>
          <w:color w:val="auto"/>
        </w:rPr>
      </w:pPr>
      <w:r>
        <w:rPr>
          <w:rFonts w:ascii="Arial" w:cs="Arial" w:eastAsia="Arial" w:hAnsi="Arial"/>
          <w:sz w:val="18"/>
          <w:szCs w:val="18"/>
          <w:color w:val="auto"/>
        </w:rPr>
        <w:t>The committee reviews and ensures all goals are appropriately rigorous and in line with the long-term success of the company. Each NEO achieved or exceeded his or her 2021 goals, which are listed below:</w:t>
      </w:r>
    </w:p>
    <w:p>
      <w:pPr>
        <w:spacing w:after="0" w:line="175" w:lineRule="exact"/>
        <w:rPr>
          <w:sz w:val="20"/>
          <w:szCs w:val="20"/>
          <w:color w:val="auto"/>
        </w:rPr>
      </w:pPr>
    </w:p>
    <w:p>
      <w:pPr>
        <w:ind w:left="321" w:right="40" w:hanging="321"/>
        <w:spacing w:after="0" w:line="239" w:lineRule="auto"/>
        <w:tabs>
          <w:tab w:leader="none" w:pos="321" w:val="left"/>
        </w:tabs>
        <w:numPr>
          <w:ilvl w:val="0"/>
          <w:numId w:val="50"/>
        </w:numPr>
        <w:rPr>
          <w:rFonts w:ascii="Arial" w:cs="Arial" w:eastAsia="Arial" w:hAnsi="Arial"/>
          <w:sz w:val="18"/>
          <w:szCs w:val="18"/>
          <w:color w:val="071D49"/>
        </w:rPr>
      </w:pPr>
      <w:r>
        <w:rPr>
          <w:rFonts w:ascii="Arial" w:cs="Arial" w:eastAsia="Arial" w:hAnsi="Arial"/>
          <w:sz w:val="18"/>
          <w:szCs w:val="18"/>
          <w:b w:val="1"/>
          <w:bCs w:val="1"/>
          <w:color w:val="auto"/>
        </w:rPr>
        <w:t xml:space="preserve">Richard A. Gonzalez: </w:t>
      </w:r>
      <w:r>
        <w:rPr>
          <w:rFonts w:ascii="Arial" w:cs="Arial" w:eastAsia="Arial" w:hAnsi="Arial"/>
          <w:sz w:val="18"/>
          <w:szCs w:val="18"/>
          <w:color w:val="auto"/>
        </w:rPr>
        <w:t>Drive top-tier business performance; execute key strategic initiatives to drive sustainable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business performance; deliver value to our stockholders, building investor confidence and credibility; successfully advance mid- and late-stage pipeline assets; continue to drive employee engagement and motivation around AbbVie’s mission and future prospects; and advance our transformation to a biopharmaceutical culture.</w:t>
      </w:r>
    </w:p>
    <w:p>
      <w:pPr>
        <w:spacing w:after="0" w:line="3" w:lineRule="exact"/>
        <w:rPr>
          <w:rFonts w:ascii="Arial" w:cs="Arial" w:eastAsia="Arial" w:hAnsi="Arial"/>
          <w:sz w:val="18"/>
          <w:szCs w:val="18"/>
          <w:color w:val="071D49"/>
        </w:rPr>
      </w:pPr>
    </w:p>
    <w:p>
      <w:pPr>
        <w:ind w:left="321" w:right="120" w:hanging="321"/>
        <w:spacing w:after="0" w:line="234" w:lineRule="auto"/>
        <w:tabs>
          <w:tab w:leader="none" w:pos="321" w:val="left"/>
        </w:tabs>
        <w:numPr>
          <w:ilvl w:val="0"/>
          <w:numId w:val="50"/>
        </w:numPr>
        <w:rPr>
          <w:rFonts w:ascii="Arial" w:cs="Arial" w:eastAsia="Arial" w:hAnsi="Arial"/>
          <w:sz w:val="18"/>
          <w:szCs w:val="18"/>
          <w:color w:val="071D49"/>
        </w:rPr>
      </w:pPr>
      <w:r>
        <w:rPr>
          <w:rFonts w:ascii="Arial" w:cs="Arial" w:eastAsia="Arial" w:hAnsi="Arial"/>
          <w:sz w:val="18"/>
          <w:szCs w:val="18"/>
          <w:b w:val="1"/>
          <w:bCs w:val="1"/>
          <w:color w:val="auto"/>
        </w:rPr>
        <w:t xml:space="preserve">Robert A. Michael: </w:t>
      </w:r>
      <w:r>
        <w:rPr>
          <w:rFonts w:ascii="Arial" w:cs="Arial" w:eastAsia="Arial" w:hAnsi="Arial"/>
          <w:sz w:val="18"/>
          <w:szCs w:val="18"/>
          <w:color w:val="auto"/>
        </w:rPr>
        <w:t>Achieve proprietary pharmaceutical pipeline enhancement objectives; and provide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on corporate strategic initiatives and build shareholder value through investor activities.</w:t>
      </w:r>
    </w:p>
    <w:p>
      <w:pPr>
        <w:spacing w:after="0" w:line="1" w:lineRule="exact"/>
        <w:rPr>
          <w:rFonts w:ascii="Arial" w:cs="Arial" w:eastAsia="Arial" w:hAnsi="Arial"/>
          <w:sz w:val="18"/>
          <w:szCs w:val="18"/>
          <w:color w:val="071D49"/>
        </w:rPr>
      </w:pPr>
    </w:p>
    <w:p>
      <w:pPr>
        <w:ind w:left="321" w:right="300" w:hanging="321"/>
        <w:spacing w:after="0" w:line="234" w:lineRule="auto"/>
        <w:tabs>
          <w:tab w:leader="none" w:pos="321" w:val="left"/>
        </w:tabs>
        <w:numPr>
          <w:ilvl w:val="0"/>
          <w:numId w:val="50"/>
        </w:numPr>
        <w:rPr>
          <w:rFonts w:ascii="Arial" w:cs="Arial" w:eastAsia="Arial" w:hAnsi="Arial"/>
          <w:sz w:val="18"/>
          <w:szCs w:val="18"/>
          <w:color w:val="071D49"/>
        </w:rPr>
      </w:pPr>
      <w:r>
        <w:rPr>
          <w:rFonts w:ascii="Arial" w:cs="Arial" w:eastAsia="Arial" w:hAnsi="Arial"/>
          <w:sz w:val="18"/>
          <w:szCs w:val="18"/>
          <w:b w:val="1"/>
          <w:bCs w:val="1"/>
          <w:color w:val="auto"/>
        </w:rPr>
        <w:t xml:space="preserve">Laura J. Schumacher: </w:t>
      </w:r>
      <w:r>
        <w:rPr>
          <w:rFonts w:ascii="Arial" w:cs="Arial" w:eastAsia="Arial" w:hAnsi="Arial"/>
          <w:sz w:val="18"/>
          <w:szCs w:val="18"/>
          <w:color w:val="auto"/>
        </w:rPr>
        <w:t>Successfully continue to develop and implement strategies to effectively resolve key</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 matters; achieve proprietary pharmaceutical pipeline enhancement objectives; execute biologics strategic development initiatives; and support research and development initiatives per company strategy.</w:t>
      </w:r>
    </w:p>
    <w:p>
      <w:pPr>
        <w:spacing w:after="0" w:line="2" w:lineRule="exact"/>
        <w:rPr>
          <w:rFonts w:ascii="Arial" w:cs="Arial" w:eastAsia="Arial" w:hAnsi="Arial"/>
          <w:sz w:val="18"/>
          <w:szCs w:val="18"/>
          <w:color w:val="071D49"/>
        </w:rPr>
      </w:pPr>
    </w:p>
    <w:p>
      <w:pPr>
        <w:ind w:left="321" w:right="200" w:hanging="321"/>
        <w:spacing w:after="0" w:line="234" w:lineRule="auto"/>
        <w:tabs>
          <w:tab w:leader="none" w:pos="321" w:val="left"/>
        </w:tabs>
        <w:numPr>
          <w:ilvl w:val="0"/>
          <w:numId w:val="50"/>
        </w:numPr>
        <w:rPr>
          <w:rFonts w:ascii="Arial" w:cs="Arial" w:eastAsia="Arial" w:hAnsi="Arial"/>
          <w:sz w:val="18"/>
          <w:szCs w:val="18"/>
          <w:color w:val="071D49"/>
        </w:rPr>
      </w:pPr>
      <w:r>
        <w:rPr>
          <w:rFonts w:ascii="Arial" w:cs="Arial" w:eastAsia="Arial" w:hAnsi="Arial"/>
          <w:sz w:val="18"/>
          <w:szCs w:val="18"/>
          <w:b w:val="1"/>
          <w:bCs w:val="1"/>
          <w:color w:val="auto"/>
        </w:rPr>
        <w:t xml:space="preserve">Michael E. Severino: </w:t>
      </w:r>
      <w:r>
        <w:rPr>
          <w:rFonts w:ascii="Arial" w:cs="Arial" w:eastAsia="Arial" w:hAnsi="Arial"/>
          <w:sz w:val="18"/>
          <w:szCs w:val="18"/>
          <w:color w:val="auto"/>
        </w:rPr>
        <w:t>Achieve key research and development milestones per company strategy; and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pipeline innovation objectives.</w:t>
      </w:r>
    </w:p>
    <w:p>
      <w:pPr>
        <w:spacing w:after="0" w:line="1" w:lineRule="exact"/>
        <w:rPr>
          <w:rFonts w:ascii="Arial" w:cs="Arial" w:eastAsia="Arial" w:hAnsi="Arial"/>
          <w:sz w:val="18"/>
          <w:szCs w:val="18"/>
          <w:color w:val="071D49"/>
        </w:rPr>
      </w:pPr>
    </w:p>
    <w:p>
      <w:pPr>
        <w:ind w:left="321" w:right="380" w:hanging="321"/>
        <w:spacing w:after="0" w:line="246" w:lineRule="auto"/>
        <w:tabs>
          <w:tab w:leader="none" w:pos="321" w:val="left"/>
        </w:tabs>
        <w:numPr>
          <w:ilvl w:val="0"/>
          <w:numId w:val="50"/>
        </w:numPr>
        <w:rPr>
          <w:rFonts w:ascii="Arial" w:cs="Arial" w:eastAsia="Arial" w:hAnsi="Arial"/>
          <w:sz w:val="18"/>
          <w:szCs w:val="18"/>
          <w:color w:val="071D49"/>
        </w:rPr>
      </w:pPr>
      <w:r>
        <w:rPr>
          <w:rFonts w:ascii="Arial" w:cs="Arial" w:eastAsia="Arial" w:hAnsi="Arial"/>
          <w:sz w:val="18"/>
          <w:szCs w:val="18"/>
          <w:b w:val="1"/>
          <w:bCs w:val="1"/>
          <w:color w:val="auto"/>
        </w:rPr>
        <w:t xml:space="preserve">Jeffrey R. Stewart: </w:t>
      </w:r>
      <w:r>
        <w:rPr>
          <w:rFonts w:ascii="Arial" w:cs="Arial" w:eastAsia="Arial" w:hAnsi="Arial"/>
          <w:sz w:val="18"/>
          <w:szCs w:val="18"/>
          <w:color w:val="auto"/>
        </w:rPr>
        <w:t>Achieve key product milestones; and successfully adapt and execute market strategies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to external considerations.</w:t>
      </w:r>
    </w:p>
    <w:p>
      <w:pPr>
        <w:spacing w:after="0" w:line="197" w:lineRule="exact"/>
        <w:rPr>
          <w:sz w:val="20"/>
          <w:szCs w:val="20"/>
          <w:color w:val="auto"/>
        </w:rPr>
      </w:pPr>
    </w:p>
    <w:p>
      <w:pPr>
        <w:ind w:left="1" w:right="20"/>
        <w:spacing w:after="0" w:line="238" w:lineRule="auto"/>
        <w:rPr>
          <w:sz w:val="20"/>
          <w:szCs w:val="20"/>
          <w:color w:val="auto"/>
        </w:rPr>
      </w:pPr>
      <w:r>
        <w:rPr>
          <w:rFonts w:ascii="Arial" w:cs="Arial" w:eastAsia="Arial" w:hAnsi="Arial"/>
          <w:sz w:val="18"/>
          <w:szCs w:val="18"/>
          <w:color w:val="auto"/>
        </w:rPr>
        <w:t>In 2021, our NEOs continued to take a formal goal aligned to protecting AbbVie’s reputation across a range of environmental, social, and governance (ESG) topics aligned to our long-term company strategy and ESG framework. The ESG goal was weighted 10% within the short-term incentive program for each NEO. As part of this ESG goal category, all senior leaders, including the NEOs, continued to take a goal aligned to executing the Equity, Equality, Diversity &amp; Inclusion (EED&amp;I) strategy.</w:t>
      </w:r>
    </w:p>
    <w:p>
      <w:pPr>
        <w:spacing w:after="0" w:line="202" w:lineRule="exact"/>
        <w:rPr>
          <w:sz w:val="20"/>
          <w:szCs w:val="20"/>
          <w:color w:val="auto"/>
        </w:rPr>
      </w:pPr>
    </w:p>
    <w:p>
      <w:pPr>
        <w:jc w:val="both"/>
        <w:ind w:left="1" w:right="220"/>
        <w:spacing w:after="0" w:line="261" w:lineRule="auto"/>
        <w:rPr>
          <w:sz w:val="20"/>
          <w:szCs w:val="20"/>
          <w:color w:val="auto"/>
        </w:rPr>
      </w:pPr>
      <w:r>
        <w:rPr>
          <w:rFonts w:ascii="Arial" w:cs="Arial" w:eastAsia="Arial" w:hAnsi="Arial"/>
          <w:sz w:val="17"/>
          <w:szCs w:val="17"/>
          <w:color w:val="auto"/>
        </w:rPr>
        <w:t>AbbVie’s senior executives have different areas of focus when it comes to driving the company’s ESG framework, and together, the executives’ ESG goals cover all of AbbVie’s material ESG drivers (which are discussed in more detail on page 8 of this proxy statement). These executives’ ESG goals are a mix of quantitative goals (for</w:t>
      </w:r>
    </w:p>
    <w:p>
      <w:pPr>
        <w:spacing w:after="0" w:line="200" w:lineRule="exact"/>
        <w:rPr>
          <w:sz w:val="20"/>
          <w:szCs w:val="20"/>
          <w:color w:val="auto"/>
        </w:rPr>
      </w:pPr>
    </w:p>
    <w:p>
      <w:pPr>
        <w:spacing w:after="0" w:line="201"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38</w:t>
      </w:r>
      <w:r>
        <w:rPr>
          <w:sz w:val="20"/>
          <w:szCs w:val="20"/>
          <w:color w:val="auto"/>
        </w:rPr>
        <w:tab/>
      </w:r>
      <w:r>
        <w:rPr>
          <w:sz w:val="1"/>
          <w:szCs w:val="1"/>
          <w:color w:val="auto"/>
        </w:rPr>
        <w:drawing>
          <wp:inline distT="0" distB="0" distL="0" distR="0">
            <wp:extent cx="874395" cy="16319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41" w:name="page42"/>
    <w:bookmarkEnd w:id="41"/>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1" w:right="200"/>
        <w:spacing w:after="0" w:line="246" w:lineRule="auto"/>
        <w:rPr>
          <w:sz w:val="20"/>
          <w:szCs w:val="20"/>
          <w:color w:val="auto"/>
        </w:rPr>
      </w:pPr>
      <w:r>
        <w:rPr>
          <w:rFonts w:ascii="Arial" w:cs="Arial" w:eastAsia="Arial" w:hAnsi="Arial"/>
          <w:sz w:val="18"/>
          <w:szCs w:val="18"/>
          <w:color w:val="auto"/>
        </w:rPr>
        <w:t>example, reducing carbon emissions using a specific target) and qualitative goals (for example, maintaining status as a top employer).</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8"/>
          <w:szCs w:val="18"/>
          <w:color w:val="auto"/>
        </w:rPr>
        <w:t>Key achievements under the ESG goal category in 2021 by AbbVie’s senior executives included, for example:</w:t>
      </w:r>
    </w:p>
    <w:p>
      <w:pPr>
        <w:ind w:left="321" w:right="160" w:hanging="321"/>
        <w:spacing w:after="0" w:line="234" w:lineRule="auto"/>
        <w:tabs>
          <w:tab w:leader="none" w:pos="321" w:val="left"/>
        </w:tabs>
        <w:numPr>
          <w:ilvl w:val="0"/>
          <w:numId w:val="51"/>
        </w:numPr>
        <w:rPr>
          <w:rFonts w:ascii="Arial" w:cs="Arial" w:eastAsia="Arial" w:hAnsi="Arial"/>
          <w:sz w:val="18"/>
          <w:szCs w:val="18"/>
          <w:color w:val="071D49"/>
        </w:rPr>
      </w:pPr>
      <w:r>
        <w:rPr>
          <w:rFonts w:ascii="Arial" w:cs="Arial" w:eastAsia="Arial" w:hAnsi="Arial"/>
          <w:sz w:val="18"/>
          <w:szCs w:val="18"/>
          <w:color w:val="auto"/>
        </w:rPr>
        <w:t>Committed to joining the Science-based Targets Initiative (SBTi) by setting ambitious science-based emissions reduction targets to support limiting global temperature rise to no more than 1.5 degrees Celsius above pre-industrial levels.</w:t>
      </w:r>
    </w:p>
    <w:p>
      <w:pPr>
        <w:spacing w:after="0" w:line="2" w:lineRule="exact"/>
        <w:rPr>
          <w:rFonts w:ascii="Arial" w:cs="Arial" w:eastAsia="Arial" w:hAnsi="Arial"/>
          <w:sz w:val="18"/>
          <w:szCs w:val="18"/>
          <w:color w:val="071D49"/>
        </w:rPr>
      </w:pPr>
    </w:p>
    <w:p>
      <w:pPr>
        <w:ind w:left="321" w:right="260" w:hanging="321"/>
        <w:spacing w:after="0" w:line="234" w:lineRule="auto"/>
        <w:tabs>
          <w:tab w:leader="none" w:pos="321" w:val="left"/>
        </w:tabs>
        <w:numPr>
          <w:ilvl w:val="0"/>
          <w:numId w:val="51"/>
        </w:numPr>
        <w:rPr>
          <w:rFonts w:ascii="Arial" w:cs="Arial" w:eastAsia="Arial" w:hAnsi="Arial"/>
          <w:sz w:val="18"/>
          <w:szCs w:val="18"/>
          <w:color w:val="071D49"/>
        </w:rPr>
      </w:pPr>
      <w:r>
        <w:rPr>
          <w:rFonts w:ascii="Arial" w:cs="Arial" w:eastAsia="Arial" w:hAnsi="Arial"/>
          <w:sz w:val="18"/>
          <w:szCs w:val="18"/>
          <w:color w:val="auto"/>
        </w:rPr>
        <w:t>Expanded access to patients who have difficulty paying for their medicine by providing medicine to more than 170,000 U.S. patients at no cost through our patient assistance program.</w:t>
      </w:r>
    </w:p>
    <w:p>
      <w:pPr>
        <w:spacing w:after="0" w:line="1" w:lineRule="exact"/>
        <w:rPr>
          <w:rFonts w:ascii="Arial" w:cs="Arial" w:eastAsia="Arial" w:hAnsi="Arial"/>
          <w:sz w:val="18"/>
          <w:szCs w:val="18"/>
          <w:color w:val="071D49"/>
        </w:rPr>
      </w:pPr>
    </w:p>
    <w:p>
      <w:pPr>
        <w:ind w:left="321" w:right="260" w:hanging="321"/>
        <w:spacing w:after="0" w:line="234" w:lineRule="auto"/>
        <w:tabs>
          <w:tab w:leader="none" w:pos="321" w:val="left"/>
        </w:tabs>
        <w:numPr>
          <w:ilvl w:val="0"/>
          <w:numId w:val="51"/>
        </w:numPr>
        <w:rPr>
          <w:rFonts w:ascii="Arial" w:cs="Arial" w:eastAsia="Arial" w:hAnsi="Arial"/>
          <w:sz w:val="18"/>
          <w:szCs w:val="18"/>
          <w:color w:val="071D49"/>
        </w:rPr>
      </w:pPr>
      <w:r>
        <w:rPr>
          <w:rFonts w:ascii="Arial" w:cs="Arial" w:eastAsia="Arial" w:hAnsi="Arial"/>
          <w:sz w:val="18"/>
          <w:szCs w:val="18"/>
          <w:color w:val="auto"/>
        </w:rPr>
        <w:t>Established an ESG Council, chaired by our Vice Chairman, External Affairs and Chief Legal Officer and composed of senior-level leaders from across the company to further strategic, enterprise-aligned delivery on AbbVie’s ESG Framework.</w:t>
      </w:r>
    </w:p>
    <w:p>
      <w:pPr>
        <w:spacing w:after="0" w:line="2" w:lineRule="exact"/>
        <w:rPr>
          <w:rFonts w:ascii="Arial" w:cs="Arial" w:eastAsia="Arial" w:hAnsi="Arial"/>
          <w:sz w:val="18"/>
          <w:szCs w:val="18"/>
          <w:color w:val="071D49"/>
        </w:rPr>
      </w:pPr>
    </w:p>
    <w:p>
      <w:pPr>
        <w:ind w:left="321" w:hanging="321"/>
        <w:spacing w:after="0"/>
        <w:tabs>
          <w:tab w:leader="none" w:pos="321" w:val="left"/>
        </w:tabs>
        <w:numPr>
          <w:ilvl w:val="0"/>
          <w:numId w:val="51"/>
        </w:numPr>
        <w:rPr>
          <w:rFonts w:ascii="Arial" w:cs="Arial" w:eastAsia="Arial" w:hAnsi="Arial"/>
          <w:sz w:val="18"/>
          <w:szCs w:val="18"/>
          <w:color w:val="071D49"/>
        </w:rPr>
      </w:pPr>
      <w:r>
        <w:rPr>
          <w:rFonts w:ascii="Arial" w:cs="Arial" w:eastAsia="Arial" w:hAnsi="Arial"/>
          <w:sz w:val="18"/>
          <w:szCs w:val="18"/>
          <w:color w:val="auto"/>
        </w:rPr>
        <w:t>Continued progress on AbbVie’s EED&amp;I strategy, including:</w:t>
      </w:r>
    </w:p>
    <w:p>
      <w:pPr>
        <w:spacing w:after="0" w:line="9" w:lineRule="exact"/>
        <w:rPr>
          <w:rFonts w:ascii="Arial" w:cs="Arial" w:eastAsia="Arial" w:hAnsi="Arial"/>
          <w:sz w:val="18"/>
          <w:szCs w:val="18"/>
          <w:color w:val="071D49"/>
        </w:rPr>
      </w:pPr>
    </w:p>
    <w:p>
      <w:pPr>
        <w:ind w:left="1301" w:right="100" w:hanging="329"/>
        <w:spacing w:after="0" w:line="234" w:lineRule="auto"/>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Our top EED&amp;I indicators of performance – including representation and education – were included in AbbVie’s 2021-2022 Strategic Roadmap to help deliver AbbVie’s EED&amp;I vision, strategy and priorities across the company.</w:t>
      </w:r>
    </w:p>
    <w:p>
      <w:pPr>
        <w:spacing w:after="0" w:line="2" w:lineRule="exact"/>
        <w:rPr>
          <w:rFonts w:ascii="Arial" w:cs="Arial" w:eastAsia="Arial" w:hAnsi="Arial"/>
          <w:sz w:val="18"/>
          <w:szCs w:val="18"/>
          <w:color w:val="071D49"/>
        </w:rPr>
      </w:pPr>
    </w:p>
    <w:p>
      <w:pPr>
        <w:ind w:left="1301" w:right="100" w:hanging="329"/>
        <w:spacing w:after="0" w:line="234" w:lineRule="auto"/>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We continue to drive an inclusive culture through driving awareness and understanding. Each year, AbbVie employees and people leaders complete learning sessions to strengthen our AbbVie community and realize the full value of our diverse workforce. More than 90% of employees and senior leaders completed a learning session.</w:t>
      </w:r>
    </w:p>
    <w:p>
      <w:pPr>
        <w:spacing w:after="0" w:line="2" w:lineRule="exact"/>
        <w:rPr>
          <w:rFonts w:ascii="Arial" w:cs="Arial" w:eastAsia="Arial" w:hAnsi="Arial"/>
          <w:sz w:val="18"/>
          <w:szCs w:val="18"/>
          <w:color w:val="071D49"/>
        </w:rPr>
      </w:pPr>
    </w:p>
    <w:p>
      <w:pPr>
        <w:ind w:left="1301" w:right="260" w:hanging="329"/>
        <w:spacing w:after="0" w:line="248" w:lineRule="auto"/>
        <w:tabs>
          <w:tab w:leader="none" w:pos="1301" w:val="left"/>
        </w:tabs>
        <w:numPr>
          <w:ilvl w:val="1"/>
          <w:numId w:val="51"/>
        </w:numPr>
        <w:rPr>
          <w:rFonts w:ascii="Arial" w:cs="Arial" w:eastAsia="Arial" w:hAnsi="Arial"/>
          <w:sz w:val="17"/>
          <w:szCs w:val="17"/>
          <w:color w:val="071D49"/>
        </w:rPr>
      </w:pPr>
      <w:r>
        <w:rPr>
          <w:rFonts w:ascii="Arial" w:cs="Arial" w:eastAsia="Arial" w:hAnsi="Arial"/>
          <w:sz w:val="17"/>
          <w:szCs w:val="17"/>
          <w:color w:val="auto"/>
        </w:rPr>
        <w:t>We have several initiatives to develop and engage our diverse talent. In 2021, we increased participation in our Executive Diversity Mentoring Program by 300% and launched a Sponsorship program, building on our culture of mentorship with an emphasis on equity, to create more pathways for talent of diverse backgrounds and experiences to be successful at AbbVie.</w:t>
      </w:r>
    </w:p>
    <w:p>
      <w:pPr>
        <w:spacing w:after="0" w:line="2" w:lineRule="exact"/>
        <w:rPr>
          <w:rFonts w:ascii="Arial" w:cs="Arial" w:eastAsia="Arial" w:hAnsi="Arial"/>
          <w:sz w:val="17"/>
          <w:szCs w:val="17"/>
          <w:color w:val="071D49"/>
        </w:rPr>
      </w:pPr>
    </w:p>
    <w:p>
      <w:pPr>
        <w:ind w:left="1301" w:right="60" w:hanging="329"/>
        <w:spacing w:after="0" w:line="234" w:lineRule="auto"/>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We are focused on creating connections and building a sense of community, well-being and belonging. In 2021, we increased overall membership in Employee Resource Groups by 30% and conducted a series of virtual employee voice sessions focused on enhancing workplace culture and advancing inclusion.</w:t>
      </w:r>
    </w:p>
    <w:p>
      <w:pPr>
        <w:spacing w:after="0" w:line="2" w:lineRule="exact"/>
        <w:rPr>
          <w:rFonts w:ascii="Arial" w:cs="Arial" w:eastAsia="Arial" w:hAnsi="Arial"/>
          <w:sz w:val="18"/>
          <w:szCs w:val="18"/>
          <w:color w:val="071D49"/>
        </w:rPr>
      </w:pPr>
    </w:p>
    <w:p>
      <w:pPr>
        <w:ind w:left="321" w:hanging="321"/>
        <w:spacing w:after="0"/>
        <w:tabs>
          <w:tab w:leader="none" w:pos="321" w:val="left"/>
        </w:tabs>
        <w:numPr>
          <w:ilvl w:val="0"/>
          <w:numId w:val="51"/>
        </w:numPr>
        <w:rPr>
          <w:rFonts w:ascii="Arial" w:cs="Arial" w:eastAsia="Arial" w:hAnsi="Arial"/>
          <w:sz w:val="18"/>
          <w:szCs w:val="18"/>
          <w:color w:val="071D49"/>
        </w:rPr>
      </w:pPr>
      <w:r>
        <w:rPr>
          <w:rFonts w:ascii="Arial" w:cs="Arial" w:eastAsia="Arial" w:hAnsi="Arial"/>
          <w:sz w:val="18"/>
          <w:szCs w:val="18"/>
          <w:color w:val="auto"/>
        </w:rPr>
        <w:t>Maintained recognition as a top employer in our industry, including:</w:t>
      </w:r>
    </w:p>
    <w:p>
      <w:pPr>
        <w:spacing w:after="0" w:line="9" w:lineRule="exact"/>
        <w:rPr>
          <w:rFonts w:ascii="Arial" w:cs="Arial" w:eastAsia="Arial" w:hAnsi="Arial"/>
          <w:sz w:val="18"/>
          <w:szCs w:val="18"/>
          <w:color w:val="071D49"/>
        </w:rPr>
      </w:pPr>
    </w:p>
    <w:p>
      <w:pPr>
        <w:ind w:left="1301" w:hanging="329"/>
        <w:spacing w:after="0"/>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 xml:space="preserve">DiversityInc “Top 50 Companies for Diversity” – </w:t>
      </w:r>
      <w:r>
        <w:rPr>
          <w:rFonts w:ascii="Arial" w:cs="Arial" w:eastAsia="Arial" w:hAnsi="Arial"/>
          <w:sz w:val="18"/>
          <w:szCs w:val="18"/>
          <w:i w:val="1"/>
          <w:iCs w:val="1"/>
          <w:color w:val="auto"/>
        </w:rPr>
        <w:t>Top 15</w:t>
      </w:r>
    </w:p>
    <w:p>
      <w:pPr>
        <w:spacing w:after="0" w:line="9" w:lineRule="exact"/>
        <w:rPr>
          <w:rFonts w:ascii="Arial" w:cs="Arial" w:eastAsia="Arial" w:hAnsi="Arial"/>
          <w:sz w:val="18"/>
          <w:szCs w:val="18"/>
          <w:color w:val="071D49"/>
        </w:rPr>
      </w:pPr>
    </w:p>
    <w:p>
      <w:pPr>
        <w:ind w:left="1301" w:hanging="329"/>
        <w:spacing w:after="0"/>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 xml:space="preserve">FORTUNE “100 Best Companies to Work For” – </w:t>
      </w:r>
      <w:r>
        <w:rPr>
          <w:rFonts w:ascii="Arial" w:cs="Arial" w:eastAsia="Arial" w:hAnsi="Arial"/>
          <w:sz w:val="18"/>
          <w:szCs w:val="18"/>
          <w:i w:val="1"/>
          <w:iCs w:val="1"/>
          <w:color w:val="auto"/>
        </w:rPr>
        <w:t>Included for four consecutive years</w:t>
      </w:r>
    </w:p>
    <w:p>
      <w:pPr>
        <w:spacing w:after="0" w:line="9" w:lineRule="exact"/>
        <w:rPr>
          <w:rFonts w:ascii="Arial" w:cs="Arial" w:eastAsia="Arial" w:hAnsi="Arial"/>
          <w:sz w:val="18"/>
          <w:szCs w:val="18"/>
          <w:color w:val="071D49"/>
        </w:rPr>
      </w:pPr>
    </w:p>
    <w:p>
      <w:pPr>
        <w:ind w:left="1301" w:hanging="329"/>
        <w:spacing w:after="0"/>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 xml:space="preserve">Great Place to Work “World’s Best Workplaces” – </w:t>
      </w:r>
      <w:r>
        <w:rPr>
          <w:rFonts w:ascii="Arial" w:cs="Arial" w:eastAsia="Arial" w:hAnsi="Arial"/>
          <w:sz w:val="18"/>
          <w:szCs w:val="18"/>
          <w:i w:val="1"/>
          <w:iCs w:val="1"/>
          <w:color w:val="auto"/>
        </w:rPr>
        <w:t>Included for five consecutive years</w:t>
      </w:r>
    </w:p>
    <w:p>
      <w:pPr>
        <w:spacing w:after="0" w:line="9" w:lineRule="exact"/>
        <w:rPr>
          <w:rFonts w:ascii="Arial" w:cs="Arial" w:eastAsia="Arial" w:hAnsi="Arial"/>
          <w:sz w:val="18"/>
          <w:szCs w:val="18"/>
          <w:color w:val="071D49"/>
        </w:rPr>
      </w:pPr>
    </w:p>
    <w:p>
      <w:pPr>
        <w:ind w:left="1301" w:right="260" w:hanging="329"/>
        <w:spacing w:after="0" w:line="246" w:lineRule="auto"/>
        <w:tabs>
          <w:tab w:leader="none" w:pos="1301" w:val="left"/>
        </w:tabs>
        <w:numPr>
          <w:ilvl w:val="1"/>
          <w:numId w:val="51"/>
        </w:numPr>
        <w:rPr>
          <w:rFonts w:ascii="Arial" w:cs="Arial" w:eastAsia="Arial" w:hAnsi="Arial"/>
          <w:sz w:val="18"/>
          <w:szCs w:val="18"/>
          <w:color w:val="071D49"/>
        </w:rPr>
      </w:pPr>
      <w:r>
        <w:rPr>
          <w:rFonts w:ascii="Arial" w:cs="Arial" w:eastAsia="Arial" w:hAnsi="Arial"/>
          <w:sz w:val="18"/>
          <w:szCs w:val="18"/>
          <w:color w:val="auto"/>
        </w:rPr>
        <w:t>More details on the external recognition of AbbVie’s efforts can be found on page 11 of this proxy statement.</w:t>
      </w:r>
    </w:p>
    <w:p>
      <w:pPr>
        <w:sectPr>
          <w:pgSz w:w="11900" w:h="16838" w:orient="portrait"/>
          <w:cols w:equalWidth="0" w:num="1">
            <w:col w:w="9261"/>
          </w:cols>
          <w:pgMar w:left="1319" w:top="530" w:right="1319" w:bottom="1440" w:gutter="0" w:footer="0" w:header="0"/>
        </w:sectPr>
      </w:pP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STOCKHOLDER ENGAGEMENT</w:t>
      </w:r>
    </w:p>
    <w:p>
      <w:pPr>
        <w:spacing w:after="0" w:line="94"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071D49"/>
        </w:rPr>
        <w:t>2021 Say on Pay Results</w:t>
      </w:r>
    </w:p>
    <w:p>
      <w:pPr>
        <w:spacing w:after="0" w:line="251" w:lineRule="exact"/>
        <w:rPr>
          <w:sz w:val="20"/>
          <w:szCs w:val="20"/>
          <w:color w:val="auto"/>
        </w:rPr>
      </w:pPr>
    </w:p>
    <w:p>
      <w:pPr>
        <w:ind w:left="1"/>
        <w:spacing w:after="0" w:line="238" w:lineRule="auto"/>
        <w:rPr>
          <w:sz w:val="20"/>
          <w:szCs w:val="20"/>
          <w:color w:val="auto"/>
        </w:rPr>
      </w:pPr>
      <w:r>
        <w:rPr>
          <w:rFonts w:ascii="Arial" w:cs="Arial" w:eastAsia="Arial" w:hAnsi="Arial"/>
          <w:sz w:val="18"/>
          <w:szCs w:val="18"/>
          <w:color w:val="auto"/>
        </w:rPr>
        <w:t>At our 2021 Annual Meeting, the say on pay proposal received support from over 89% of our stockholders. The board and compensation committee are encouraged by the continued, consistent stockholder support for our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80"/>
        <w:spacing w:after="0"/>
        <w:rPr>
          <w:sz w:val="20"/>
          <w:szCs w:val="20"/>
          <w:color w:val="auto"/>
        </w:rPr>
      </w:pPr>
      <w:r>
        <w:rPr>
          <w:rFonts w:ascii="Arial" w:cs="Arial" w:eastAsia="Arial" w:hAnsi="Arial"/>
          <w:sz w:val="65"/>
          <w:szCs w:val="65"/>
          <w:color w:val="071D49"/>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-487680</wp:posOffset>
            </wp:positionV>
            <wp:extent cx="1465580" cy="651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5580" cy="65151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7"/>
          <w:szCs w:val="17"/>
          <w:b w:val="1"/>
          <w:bCs w:val="1"/>
          <w:color w:val="071D49"/>
        </w:rPr>
        <w:t>Say on Pay Results</w:t>
      </w:r>
    </w:p>
    <w:p>
      <w:pPr>
        <w:spacing w:after="0" w:line="183" w:lineRule="exact"/>
        <w:rPr>
          <w:sz w:val="20"/>
          <w:szCs w:val="20"/>
          <w:color w:val="auto"/>
        </w:rPr>
      </w:pPr>
    </w:p>
    <w:p>
      <w:pPr>
        <w:sectPr>
          <w:pgSz w:w="11900" w:h="16838" w:orient="portrait"/>
          <w:cols w:equalWidth="0" w:num="2">
            <w:col w:w="6801" w:space="420"/>
            <w:col w:w="2040"/>
          </w:cols>
          <w:pgMar w:left="1319" w:top="530" w:right="1319" w:bottom="1440" w:gutter="0" w:footer="0" w:header="0"/>
          <w:type w:val="continuous"/>
        </w:sectPr>
      </w:pPr>
    </w:p>
    <w:p>
      <w:pPr>
        <w:ind w:left="1" w:right="220"/>
        <w:spacing w:after="0" w:line="238" w:lineRule="auto"/>
        <w:rPr>
          <w:sz w:val="20"/>
          <w:szCs w:val="20"/>
          <w:color w:val="auto"/>
        </w:rPr>
      </w:pPr>
      <w:r>
        <w:rPr>
          <w:rFonts w:ascii="Arial" w:cs="Arial" w:eastAsia="Arial" w:hAnsi="Arial"/>
          <w:sz w:val="18"/>
          <w:szCs w:val="18"/>
          <w:color w:val="auto"/>
        </w:rPr>
        <w:t>AbbVie is committed to regular, ongoing engagement with stockholders to ensure that we continue to understand stockholder feedback about our compensation program and incorporate that feedback into the compensation decision-making process. To that end, in 2021 AbbVie reached out to stockholders representing nearly 40% of the company’s outstanding shares.</w:t>
      </w:r>
    </w:p>
    <w:p>
      <w:pPr>
        <w:spacing w:after="0" w:line="97" w:lineRule="exact"/>
        <w:rPr>
          <w:sz w:val="20"/>
          <w:szCs w:val="20"/>
          <w:color w:val="auto"/>
        </w:rPr>
      </w:pPr>
    </w:p>
    <w:p>
      <w:pPr>
        <w:ind w:left="1" w:right="80"/>
        <w:spacing w:after="0" w:line="238" w:lineRule="auto"/>
        <w:rPr>
          <w:sz w:val="20"/>
          <w:szCs w:val="20"/>
          <w:color w:val="auto"/>
        </w:rPr>
      </w:pPr>
      <w:r>
        <w:rPr>
          <w:rFonts w:ascii="Arial" w:cs="Arial" w:eastAsia="Arial" w:hAnsi="Arial"/>
          <w:sz w:val="18"/>
          <w:szCs w:val="18"/>
          <w:color w:val="auto"/>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-539750</wp:posOffset>
            </wp:positionV>
            <wp:extent cx="874395"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GOVERNANCE SUMMARY</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 addition to strong alignment of pay with the performance of the company and our NEOs, we maintain and are committed to good governance practices,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194310</wp:posOffset>
            </wp:positionV>
            <wp:extent cx="68580" cy="47834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4783455"/>
                    </a:xfrm>
                    <a:prstGeom prst="rect">
                      <a:avLst/>
                    </a:prstGeom>
                    <a:noFill/>
                  </pic:spPr>
                </pic:pic>
              </a:graphicData>
            </a:graphic>
          </wp:anchor>
        </w:drawing>
      </w:r>
    </w:p>
    <w:p>
      <w:pPr>
        <w:spacing w:after="0" w:line="355" w:lineRule="exact"/>
        <w:rPr>
          <w:sz w:val="20"/>
          <w:szCs w:val="20"/>
          <w:color w:val="auto"/>
        </w:rPr>
      </w:pPr>
    </w:p>
    <w:p>
      <w:pPr>
        <w:ind w:left="360"/>
        <w:spacing w:after="0"/>
        <w:rPr>
          <w:sz w:val="20"/>
          <w:szCs w:val="20"/>
          <w:color w:val="auto"/>
        </w:rPr>
      </w:pPr>
      <w:r>
        <w:rPr>
          <w:rFonts w:ascii="Arial" w:cs="Arial" w:eastAsia="Arial" w:hAnsi="Arial"/>
          <w:sz w:val="25"/>
          <w:szCs w:val="25"/>
          <w:color w:val="auto"/>
        </w:rPr>
        <w:t>Good Governance Practices</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080" w:type="dxa"/>
            <w:vAlign w:val="bottom"/>
            <w:tcBorders>
              <w:top w:val="single" w:sz="8" w:color="071D49"/>
              <w:right w:val="single" w:sz="8" w:color="071D49"/>
            </w:tcBorders>
          </w:tcPr>
          <w:p>
            <w:pPr>
              <w:spacing w:after="0"/>
              <w:rPr>
                <w:sz w:val="19"/>
                <w:szCs w:val="19"/>
                <w:color w:val="auto"/>
              </w:rPr>
            </w:pPr>
          </w:p>
        </w:tc>
        <w:tc>
          <w:tcPr>
            <w:tcW w:w="6980" w:type="dxa"/>
            <w:vAlign w:val="bottom"/>
            <w:tcBorders>
              <w:top w:val="single" w:sz="8" w:color="071D49"/>
            </w:tcBorders>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Annual incentive plan includes financial, operational, and strategic metrics to assess</w:t>
            </w:r>
          </w:p>
        </w:tc>
        <w:tc>
          <w:tcPr>
            <w:tcW w:w="0" w:type="dxa"/>
            <w:vAlign w:val="bottom"/>
          </w:tcPr>
          <w:p>
            <w:pPr>
              <w:spacing w:after="0"/>
              <w:rPr>
                <w:sz w:val="1"/>
                <w:szCs w:val="1"/>
                <w:color w:val="auto"/>
              </w:rPr>
            </w:pPr>
          </w:p>
        </w:tc>
      </w:tr>
      <w:tr>
        <w:trPr>
          <w:trHeight w:val="159"/>
        </w:trPr>
        <w:tc>
          <w:tcPr>
            <w:tcW w:w="2080" w:type="dxa"/>
            <w:vAlign w:val="bottom"/>
            <w:tcBorders>
              <w:right w:val="single" w:sz="8" w:color="071D49"/>
            </w:tcBorders>
          </w:tcPr>
          <w:p>
            <w:pPr>
              <w:spacing w:after="0"/>
              <w:rPr>
                <w:sz w:val="13"/>
                <w:szCs w:val="13"/>
                <w:color w:val="auto"/>
              </w:rPr>
            </w:pPr>
          </w:p>
        </w:tc>
        <w:tc>
          <w:tcPr>
            <w:tcW w:w="6980" w:type="dxa"/>
            <w:vAlign w:val="bottom"/>
          </w:tcPr>
          <w:p>
            <w:pPr>
              <w:ind w:left="400"/>
              <w:spacing w:after="0" w:line="159" w:lineRule="exact"/>
              <w:rPr>
                <w:sz w:val="20"/>
                <w:szCs w:val="20"/>
                <w:color w:val="auto"/>
              </w:rPr>
            </w:pPr>
            <w:r>
              <w:rPr>
                <w:rFonts w:ascii="Arial" w:cs="Arial" w:eastAsia="Arial" w:hAnsi="Arial"/>
                <w:sz w:val="17"/>
                <w:szCs w:val="17"/>
                <w:color w:val="auto"/>
              </w:rPr>
              <w:t>performance</w:t>
            </w:r>
          </w:p>
        </w:tc>
        <w:tc>
          <w:tcPr>
            <w:tcW w:w="0" w:type="dxa"/>
            <w:vAlign w:val="bottom"/>
          </w:tcPr>
          <w:p>
            <w:pPr>
              <w:spacing w:after="0"/>
              <w:rPr>
                <w:sz w:val="1"/>
                <w:szCs w:val="1"/>
                <w:color w:val="auto"/>
              </w:rPr>
            </w:pPr>
          </w:p>
        </w:tc>
      </w:tr>
      <w:tr>
        <w:trPr>
          <w:trHeight w:val="233"/>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Balanced Incentive</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Annual incentive payout matrix used to define and cap the range for the committee’s</w:t>
            </w: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vMerge w:val="continue"/>
          </w:tcPr>
          <w:p>
            <w:pPr>
              <w:spacing w:after="0"/>
              <w:rPr>
                <w:sz w:val="13"/>
                <w:szCs w:val="13"/>
                <w:color w:val="auto"/>
              </w:rPr>
            </w:pPr>
          </w:p>
        </w:tc>
        <w:tc>
          <w:tcPr>
            <w:tcW w:w="6980" w:type="dxa"/>
            <w:vAlign w:val="bottom"/>
          </w:tcPr>
          <w:p>
            <w:pPr>
              <w:ind w:left="400"/>
              <w:spacing w:after="0" w:line="154" w:lineRule="exact"/>
              <w:rPr>
                <w:sz w:val="20"/>
                <w:szCs w:val="20"/>
                <w:color w:val="auto"/>
              </w:rPr>
            </w:pPr>
            <w:r>
              <w:rPr>
                <w:rFonts w:ascii="Arial" w:cs="Arial" w:eastAsia="Arial" w:hAnsi="Arial"/>
                <w:sz w:val="17"/>
                <w:szCs w:val="17"/>
                <w:color w:val="auto"/>
              </w:rPr>
              <w:t>determinations (at or below the plan maximum of 200% of target)</w:t>
            </w:r>
          </w:p>
        </w:tc>
        <w:tc>
          <w:tcPr>
            <w:tcW w:w="0" w:type="dxa"/>
            <w:vAlign w:val="bottom"/>
          </w:tcPr>
          <w:p>
            <w:pPr>
              <w:spacing w:after="0"/>
              <w:rPr>
                <w:sz w:val="1"/>
                <w:szCs w:val="1"/>
                <w:color w:val="auto"/>
              </w:rPr>
            </w:pPr>
          </w:p>
        </w:tc>
      </w:tr>
      <w:tr>
        <w:trPr>
          <w:trHeight w:val="237"/>
        </w:trPr>
        <w:tc>
          <w:tcPr>
            <w:tcW w:w="2080" w:type="dxa"/>
            <w:vAlign w:val="bottom"/>
            <w:tcBorders>
              <w:right w:val="single" w:sz="8" w:color="071D49"/>
            </w:tcBorders>
          </w:tcPr>
          <w:p>
            <w:pPr>
              <w:jc w:val="center"/>
              <w:spacing w:after="0" w:line="237" w:lineRule="exact"/>
              <w:rPr>
                <w:sz w:val="20"/>
                <w:szCs w:val="20"/>
                <w:color w:val="auto"/>
              </w:rPr>
            </w:pPr>
            <w:r>
              <w:rPr>
                <w:rFonts w:ascii="Arial" w:cs="Arial" w:eastAsia="Arial" w:hAnsi="Arial"/>
                <w:sz w:val="22"/>
                <w:szCs w:val="22"/>
                <w:color w:val="auto"/>
                <w:w w:val="97"/>
              </w:rPr>
              <w:t>Plan Design</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Long-term incentive design emphasizing multiple, relative performance metrics and</w:t>
            </w:r>
          </w:p>
        </w:tc>
        <w:tc>
          <w:tcPr>
            <w:tcW w:w="0" w:type="dxa"/>
            <w:vAlign w:val="bottom"/>
          </w:tcPr>
          <w:p>
            <w:pPr>
              <w:spacing w:after="0"/>
              <w:rPr>
                <w:sz w:val="1"/>
                <w:szCs w:val="1"/>
                <w:color w:val="auto"/>
              </w:rPr>
            </w:pPr>
          </w:p>
        </w:tc>
      </w:tr>
      <w:tr>
        <w:trPr>
          <w:trHeight w:val="159"/>
        </w:trPr>
        <w:tc>
          <w:tcPr>
            <w:tcW w:w="2080" w:type="dxa"/>
            <w:vAlign w:val="bottom"/>
            <w:tcBorders>
              <w:right w:val="single" w:sz="8" w:color="071D49"/>
            </w:tcBorders>
          </w:tcPr>
          <w:p>
            <w:pPr>
              <w:spacing w:after="0"/>
              <w:rPr>
                <w:sz w:val="13"/>
                <w:szCs w:val="13"/>
                <w:color w:val="auto"/>
              </w:rPr>
            </w:pPr>
          </w:p>
        </w:tc>
        <w:tc>
          <w:tcPr>
            <w:tcW w:w="6980" w:type="dxa"/>
            <w:vAlign w:val="bottom"/>
          </w:tcPr>
          <w:p>
            <w:pPr>
              <w:ind w:left="400"/>
              <w:spacing w:after="0" w:line="159" w:lineRule="exact"/>
              <w:rPr>
                <w:sz w:val="20"/>
                <w:szCs w:val="20"/>
                <w:color w:val="auto"/>
              </w:rPr>
            </w:pPr>
            <w:r>
              <w:rPr>
                <w:rFonts w:ascii="Arial" w:cs="Arial" w:eastAsia="Arial" w:hAnsi="Arial"/>
                <w:sz w:val="17"/>
                <w:szCs w:val="17"/>
                <w:color w:val="auto"/>
              </w:rPr>
              <w:t>multi-year performance periods</w:t>
            </w:r>
          </w:p>
        </w:tc>
        <w:tc>
          <w:tcPr>
            <w:tcW w:w="0" w:type="dxa"/>
            <w:vAlign w:val="bottom"/>
          </w:tcPr>
          <w:p>
            <w:pPr>
              <w:spacing w:after="0"/>
              <w:rPr>
                <w:sz w:val="1"/>
                <w:szCs w:val="1"/>
                <w:color w:val="auto"/>
              </w:rPr>
            </w:pPr>
          </w:p>
        </w:tc>
      </w:tr>
      <w:tr>
        <w:trPr>
          <w:trHeight w:val="269"/>
        </w:trPr>
        <w:tc>
          <w:tcPr>
            <w:tcW w:w="2080" w:type="dxa"/>
            <w:vAlign w:val="bottom"/>
            <w:tcBorders>
              <w:right w:val="single" w:sz="8" w:color="071D49"/>
            </w:tcBorders>
          </w:tcPr>
          <w:p>
            <w:pPr>
              <w:spacing w:after="0"/>
              <w:rPr>
                <w:sz w:val="23"/>
                <w:szCs w:val="23"/>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duplication of performance metrics in short- and long-term incentives</w:t>
            </w:r>
          </w:p>
        </w:tc>
        <w:tc>
          <w:tcPr>
            <w:tcW w:w="0" w:type="dxa"/>
            <w:vAlign w:val="bottom"/>
          </w:tcPr>
          <w:p>
            <w:pPr>
              <w:spacing w:after="0"/>
              <w:rPr>
                <w:sz w:val="1"/>
                <w:szCs w:val="1"/>
                <w:color w:val="auto"/>
              </w:rPr>
            </w:pPr>
          </w:p>
        </w:tc>
      </w:tr>
      <w:tr>
        <w:trPr>
          <w:trHeight w:val="99"/>
        </w:trPr>
        <w:tc>
          <w:tcPr>
            <w:tcW w:w="2080" w:type="dxa"/>
            <w:vAlign w:val="bottom"/>
            <w:tcBorders>
              <w:bottom w:val="single" w:sz="8" w:color="071D49"/>
              <w:right w:val="single" w:sz="8" w:color="071D49"/>
            </w:tcBorders>
          </w:tcPr>
          <w:p>
            <w:pPr>
              <w:spacing w:after="0"/>
              <w:rPr>
                <w:sz w:val="8"/>
                <w:szCs w:val="8"/>
                <w:color w:val="auto"/>
              </w:rPr>
            </w:pPr>
          </w:p>
        </w:tc>
        <w:tc>
          <w:tcPr>
            <w:tcW w:w="6980" w:type="dxa"/>
            <w:vAlign w:val="bottom"/>
            <w:tcBorders>
              <w:bottom w:val="single" w:sz="8" w:color="071D49"/>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7"/>
              </w:rPr>
              <w:t>Pay Equity and</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Commitment to pay equity and annual pay equity analyses to ensure pay is equitable</w:t>
            </w:r>
          </w:p>
        </w:tc>
        <w:tc>
          <w:tcPr>
            <w:tcW w:w="0" w:type="dxa"/>
            <w:vAlign w:val="bottom"/>
          </w:tcPr>
          <w:p>
            <w:pPr>
              <w:spacing w:after="0"/>
              <w:rPr>
                <w:sz w:val="1"/>
                <w:szCs w:val="1"/>
                <w:color w:val="auto"/>
              </w:rPr>
            </w:pPr>
          </w:p>
        </w:tc>
      </w:tr>
      <w:tr>
        <w:trPr>
          <w:trHeight w:val="195"/>
        </w:trPr>
        <w:tc>
          <w:tcPr>
            <w:tcW w:w="2080" w:type="dxa"/>
            <w:vAlign w:val="bottom"/>
            <w:tcBorders>
              <w:right w:val="single" w:sz="8" w:color="071D49"/>
            </w:tcBorders>
            <w:vMerge w:val="continue"/>
          </w:tcPr>
          <w:p>
            <w:pPr>
              <w:spacing w:after="0"/>
              <w:rPr>
                <w:sz w:val="16"/>
                <w:szCs w:val="16"/>
                <w:color w:val="auto"/>
              </w:rPr>
            </w:pPr>
          </w:p>
        </w:tc>
        <w:tc>
          <w:tcPr>
            <w:tcW w:w="6980" w:type="dxa"/>
            <w:vAlign w:val="bottom"/>
          </w:tcPr>
          <w:p>
            <w:pPr>
              <w:ind w:left="400"/>
              <w:spacing w:after="0"/>
              <w:rPr>
                <w:sz w:val="20"/>
                <w:szCs w:val="20"/>
                <w:color w:val="auto"/>
              </w:rPr>
            </w:pPr>
            <w:r>
              <w:rPr>
                <w:rFonts w:ascii="Arial" w:cs="Arial" w:eastAsia="Arial" w:hAnsi="Arial"/>
                <w:sz w:val="17"/>
                <w:szCs w:val="17"/>
                <w:color w:val="auto"/>
              </w:rPr>
              <w:t>across genders and ethnicities among U.S. employees</w:t>
            </w:r>
          </w:p>
        </w:tc>
        <w:tc>
          <w:tcPr>
            <w:tcW w:w="0" w:type="dxa"/>
            <w:vAlign w:val="bottom"/>
          </w:tcPr>
          <w:p>
            <w:pPr>
              <w:spacing w:after="0"/>
              <w:rPr>
                <w:sz w:val="1"/>
                <w:szCs w:val="1"/>
                <w:color w:val="auto"/>
              </w:rPr>
            </w:pPr>
          </w:p>
        </w:tc>
      </w:tr>
      <w:tr>
        <w:trPr>
          <w:trHeight w:val="196"/>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Sustainability</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Incorporation of ESG into the strategic/leadership goals within the annual incentive</w:t>
            </w:r>
          </w:p>
        </w:tc>
        <w:tc>
          <w:tcPr>
            <w:tcW w:w="0" w:type="dxa"/>
            <w:vAlign w:val="bottom"/>
          </w:tcPr>
          <w:p>
            <w:pPr>
              <w:spacing w:after="0"/>
              <w:rPr>
                <w:sz w:val="1"/>
                <w:szCs w:val="1"/>
                <w:color w:val="auto"/>
              </w:rPr>
            </w:pPr>
          </w:p>
        </w:tc>
      </w:tr>
      <w:tr>
        <w:trPr>
          <w:trHeight w:val="111"/>
        </w:trPr>
        <w:tc>
          <w:tcPr>
            <w:tcW w:w="2080" w:type="dxa"/>
            <w:vAlign w:val="bottom"/>
            <w:tcBorders>
              <w:right w:val="single" w:sz="8" w:color="071D49"/>
            </w:tcBorders>
            <w:vMerge w:val="continue"/>
          </w:tcPr>
          <w:p>
            <w:pPr>
              <w:spacing w:after="0"/>
              <w:rPr>
                <w:sz w:val="9"/>
                <w:szCs w:val="9"/>
                <w:color w:val="auto"/>
              </w:rPr>
            </w:pPr>
          </w:p>
        </w:tc>
        <w:tc>
          <w:tcPr>
            <w:tcW w:w="6980" w:type="dxa"/>
            <w:vAlign w:val="bottom"/>
            <w:vMerge w:val="restart"/>
          </w:tcPr>
          <w:p>
            <w:pPr>
              <w:ind w:left="400"/>
              <w:spacing w:after="0"/>
              <w:rPr>
                <w:sz w:val="20"/>
                <w:szCs w:val="20"/>
                <w:color w:val="auto"/>
              </w:rPr>
            </w:pPr>
            <w:r>
              <w:rPr>
                <w:rFonts w:ascii="Arial" w:cs="Arial" w:eastAsia="Arial" w:hAnsi="Arial"/>
                <w:sz w:val="17"/>
                <w:szCs w:val="17"/>
                <w:color w:val="auto"/>
              </w:rPr>
              <w:t>plan</w:t>
            </w:r>
          </w:p>
        </w:tc>
        <w:tc>
          <w:tcPr>
            <w:tcW w:w="0" w:type="dxa"/>
            <w:vAlign w:val="bottom"/>
          </w:tcPr>
          <w:p>
            <w:pPr>
              <w:spacing w:after="0"/>
              <w:rPr>
                <w:sz w:val="1"/>
                <w:szCs w:val="1"/>
                <w:color w:val="auto"/>
              </w:rPr>
            </w:pPr>
          </w:p>
        </w:tc>
      </w:tr>
      <w:tr>
        <w:trPr>
          <w:trHeight w:val="94"/>
        </w:trPr>
        <w:tc>
          <w:tcPr>
            <w:tcW w:w="2080" w:type="dxa"/>
            <w:vAlign w:val="bottom"/>
            <w:tcBorders>
              <w:right w:val="single" w:sz="8" w:color="071D49"/>
            </w:tcBorders>
          </w:tcPr>
          <w:p>
            <w:pPr>
              <w:spacing w:after="0"/>
              <w:rPr>
                <w:sz w:val="8"/>
                <w:szCs w:val="8"/>
                <w:color w:val="auto"/>
              </w:rPr>
            </w:pPr>
          </w:p>
        </w:tc>
        <w:tc>
          <w:tcPr>
            <w:tcW w:w="6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80" w:type="dxa"/>
            <w:vAlign w:val="bottom"/>
            <w:tcBorders>
              <w:bottom w:val="single" w:sz="8" w:color="071D49"/>
              <w:right w:val="single" w:sz="8" w:color="071D49"/>
            </w:tcBorders>
          </w:tcPr>
          <w:p>
            <w:pPr>
              <w:spacing w:after="0"/>
              <w:rPr>
                <w:sz w:val="9"/>
                <w:szCs w:val="9"/>
                <w:color w:val="auto"/>
              </w:rPr>
            </w:pPr>
          </w:p>
        </w:tc>
        <w:tc>
          <w:tcPr>
            <w:tcW w:w="69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80" w:type="dxa"/>
            <w:vAlign w:val="bottom"/>
            <w:tcBorders>
              <w:right w:val="single" w:sz="8" w:color="071D49"/>
            </w:tcBorders>
          </w:tcPr>
          <w:p>
            <w:pPr>
              <w:spacing w:after="0"/>
              <w:rPr>
                <w:sz w:val="17"/>
                <w:szCs w:val="17"/>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Committee has broad discretion to claw back incentive awards in the unlikely event of</w:t>
            </w:r>
          </w:p>
        </w:tc>
        <w:tc>
          <w:tcPr>
            <w:tcW w:w="0" w:type="dxa"/>
            <w:vAlign w:val="bottom"/>
          </w:tcPr>
          <w:p>
            <w:pPr>
              <w:spacing w:after="0"/>
              <w:rPr>
                <w:sz w:val="1"/>
                <w:szCs w:val="1"/>
                <w:color w:val="auto"/>
              </w:rPr>
            </w:pPr>
          </w:p>
        </w:tc>
      </w:tr>
      <w:tr>
        <w:trPr>
          <w:trHeight w:val="159"/>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Strong Governance</w:t>
            </w:r>
          </w:p>
        </w:tc>
        <w:tc>
          <w:tcPr>
            <w:tcW w:w="6980" w:type="dxa"/>
            <w:vAlign w:val="bottom"/>
          </w:tcPr>
          <w:p>
            <w:pPr>
              <w:ind w:left="400"/>
              <w:spacing w:after="0" w:line="159" w:lineRule="exact"/>
              <w:rPr>
                <w:sz w:val="20"/>
                <w:szCs w:val="20"/>
                <w:color w:val="auto"/>
              </w:rPr>
            </w:pPr>
            <w:r>
              <w:rPr>
                <w:rFonts w:ascii="Arial" w:cs="Arial" w:eastAsia="Arial" w:hAnsi="Arial"/>
                <w:sz w:val="17"/>
                <w:szCs w:val="17"/>
                <w:color w:val="auto"/>
              </w:rPr>
              <w:t>a restatement of earnings or material breach of the AbbVie Code of Business Conduct</w:t>
            </w:r>
          </w:p>
        </w:tc>
        <w:tc>
          <w:tcPr>
            <w:tcW w:w="0" w:type="dxa"/>
            <w:vAlign w:val="bottom"/>
          </w:tcPr>
          <w:p>
            <w:pPr>
              <w:spacing w:after="0"/>
              <w:rPr>
                <w:sz w:val="1"/>
                <w:szCs w:val="1"/>
                <w:color w:val="auto"/>
              </w:rPr>
            </w:pPr>
          </w:p>
        </w:tc>
      </w:tr>
      <w:tr>
        <w:trPr>
          <w:trHeight w:val="206"/>
        </w:trPr>
        <w:tc>
          <w:tcPr>
            <w:tcW w:w="2080" w:type="dxa"/>
            <w:vAlign w:val="bottom"/>
            <w:tcBorders>
              <w:right w:val="single" w:sz="8" w:color="071D49"/>
            </w:tcBorders>
            <w:vMerge w:val="continue"/>
          </w:tcPr>
          <w:p>
            <w:pPr>
              <w:spacing w:after="0"/>
              <w:rPr>
                <w:sz w:val="17"/>
                <w:szCs w:val="17"/>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Anti-hedging and anti-pledging policies</w:t>
            </w:r>
          </w:p>
        </w:tc>
        <w:tc>
          <w:tcPr>
            <w:tcW w:w="0" w:type="dxa"/>
            <w:vAlign w:val="bottom"/>
          </w:tcPr>
          <w:p>
            <w:pPr>
              <w:spacing w:after="0"/>
              <w:rPr>
                <w:sz w:val="1"/>
                <w:szCs w:val="1"/>
                <w:color w:val="auto"/>
              </w:rPr>
            </w:pPr>
          </w:p>
        </w:tc>
      </w:tr>
      <w:tr>
        <w:trPr>
          <w:trHeight w:val="216"/>
        </w:trPr>
        <w:tc>
          <w:tcPr>
            <w:tcW w:w="2080" w:type="dxa"/>
            <w:vAlign w:val="bottom"/>
            <w:tcBorders>
              <w:right w:val="single" w:sz="8" w:color="071D49"/>
            </w:tcBorders>
          </w:tcPr>
          <w:p>
            <w:pPr>
              <w:jc w:val="center"/>
              <w:spacing w:after="0" w:line="216" w:lineRule="exact"/>
              <w:rPr>
                <w:sz w:val="20"/>
                <w:szCs w:val="20"/>
                <w:color w:val="auto"/>
              </w:rPr>
            </w:pPr>
            <w:r>
              <w:rPr>
                <w:rFonts w:ascii="Arial" w:cs="Arial" w:eastAsia="Arial" w:hAnsi="Arial"/>
                <w:sz w:val="22"/>
                <w:szCs w:val="22"/>
                <w:color w:val="auto"/>
                <w:w w:val="97"/>
              </w:rPr>
              <w:t>Practices</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Annual comprehensive compensation program risk review</w:t>
            </w:r>
          </w:p>
        </w:tc>
        <w:tc>
          <w:tcPr>
            <w:tcW w:w="0" w:type="dxa"/>
            <w:vAlign w:val="bottom"/>
          </w:tcPr>
          <w:p>
            <w:pPr>
              <w:spacing w:after="0"/>
              <w:rPr>
                <w:sz w:val="1"/>
                <w:szCs w:val="1"/>
                <w:color w:val="auto"/>
              </w:rPr>
            </w:pPr>
          </w:p>
        </w:tc>
      </w:tr>
      <w:tr>
        <w:trPr>
          <w:trHeight w:val="283"/>
        </w:trPr>
        <w:tc>
          <w:tcPr>
            <w:tcW w:w="2080" w:type="dxa"/>
            <w:vAlign w:val="bottom"/>
            <w:tcBorders>
              <w:right w:val="single" w:sz="8" w:color="071D49"/>
            </w:tcBorders>
          </w:tcPr>
          <w:p>
            <w:pPr>
              <w:spacing w:after="0"/>
              <w:rPr>
                <w:sz w:val="24"/>
                <w:szCs w:val="24"/>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Independent compensation consultant that performs no other work for the company</w:t>
            </w:r>
          </w:p>
        </w:tc>
        <w:tc>
          <w:tcPr>
            <w:tcW w:w="0" w:type="dxa"/>
            <w:vAlign w:val="bottom"/>
          </w:tcPr>
          <w:p>
            <w:pPr>
              <w:spacing w:after="0"/>
              <w:rPr>
                <w:sz w:val="1"/>
                <w:szCs w:val="1"/>
                <w:color w:val="auto"/>
              </w:rPr>
            </w:pPr>
          </w:p>
        </w:tc>
      </w:tr>
      <w:tr>
        <w:trPr>
          <w:trHeight w:val="95"/>
        </w:trPr>
        <w:tc>
          <w:tcPr>
            <w:tcW w:w="2080" w:type="dxa"/>
            <w:vAlign w:val="bottom"/>
            <w:tcBorders>
              <w:bottom w:val="single" w:sz="8" w:color="071D49"/>
              <w:right w:val="single" w:sz="8" w:color="071D49"/>
            </w:tcBorders>
          </w:tcPr>
          <w:p>
            <w:pPr>
              <w:spacing w:after="0"/>
              <w:rPr>
                <w:sz w:val="8"/>
                <w:szCs w:val="8"/>
                <w:color w:val="auto"/>
              </w:rPr>
            </w:pPr>
          </w:p>
        </w:tc>
        <w:tc>
          <w:tcPr>
            <w:tcW w:w="6980" w:type="dxa"/>
            <w:vAlign w:val="bottom"/>
            <w:tcBorders>
              <w:bottom w:val="single" w:sz="8" w:color="071D49"/>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8"/>
              </w:rPr>
              <w:t>Pay for Performance</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Short- and long-term incentive programs closely align with performance</w:t>
            </w:r>
          </w:p>
        </w:tc>
        <w:tc>
          <w:tcPr>
            <w:tcW w:w="0" w:type="dxa"/>
            <w:vAlign w:val="bottom"/>
          </w:tcPr>
          <w:p>
            <w:pPr>
              <w:spacing w:after="0"/>
              <w:rPr>
                <w:sz w:val="1"/>
                <w:szCs w:val="1"/>
                <w:color w:val="auto"/>
              </w:rPr>
            </w:pPr>
          </w:p>
        </w:tc>
      </w:tr>
      <w:tr>
        <w:trPr>
          <w:trHeight w:val="243"/>
        </w:trPr>
        <w:tc>
          <w:tcPr>
            <w:tcW w:w="2080" w:type="dxa"/>
            <w:vAlign w:val="bottom"/>
            <w:tcBorders>
              <w:right w:val="single" w:sz="8" w:color="071D49"/>
            </w:tcBorders>
          </w:tcPr>
          <w:p>
            <w:pPr>
              <w:jc w:val="center"/>
              <w:spacing w:after="0" w:line="243" w:lineRule="exact"/>
              <w:rPr>
                <w:sz w:val="20"/>
                <w:szCs w:val="20"/>
                <w:color w:val="auto"/>
              </w:rPr>
            </w:pPr>
            <w:r>
              <w:rPr>
                <w:rFonts w:ascii="Arial" w:cs="Arial" w:eastAsia="Arial" w:hAnsi="Arial"/>
                <w:sz w:val="22"/>
                <w:szCs w:val="22"/>
                <w:color w:val="auto"/>
                <w:w w:val="98"/>
              </w:rPr>
              <w:t>and Stockholder</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Majority of NEO compensation tied to long-term performance</w:t>
            </w:r>
          </w:p>
        </w:tc>
        <w:tc>
          <w:tcPr>
            <w:tcW w:w="0" w:type="dxa"/>
            <w:vAlign w:val="bottom"/>
          </w:tcPr>
          <w:p>
            <w:pPr>
              <w:spacing w:after="0"/>
              <w:rPr>
                <w:sz w:val="1"/>
                <w:szCs w:val="1"/>
                <w:color w:val="auto"/>
              </w:rPr>
            </w:pPr>
          </w:p>
        </w:tc>
      </w:tr>
      <w:tr>
        <w:trPr>
          <w:trHeight w:val="243"/>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Alignment</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Proactive stockholder engagement process</w:t>
            </w:r>
          </w:p>
        </w:tc>
        <w:tc>
          <w:tcPr>
            <w:tcW w:w="0" w:type="dxa"/>
            <w:vAlign w:val="bottom"/>
          </w:tcPr>
          <w:p>
            <w:pPr>
              <w:spacing w:after="0"/>
              <w:rPr>
                <w:sz w:val="1"/>
                <w:szCs w:val="1"/>
                <w:color w:val="auto"/>
              </w:rPr>
            </w:pPr>
          </w:p>
        </w:tc>
      </w:tr>
      <w:tr>
        <w:trPr>
          <w:trHeight w:val="64"/>
        </w:trPr>
        <w:tc>
          <w:tcPr>
            <w:tcW w:w="2080" w:type="dxa"/>
            <w:vAlign w:val="bottom"/>
            <w:tcBorders>
              <w:right w:val="single" w:sz="8" w:color="071D49"/>
            </w:tcBorders>
            <w:vMerge w:val="continue"/>
          </w:tcPr>
          <w:p>
            <w:pPr>
              <w:spacing w:after="0"/>
              <w:rPr>
                <w:sz w:val="5"/>
                <w:szCs w:val="5"/>
                <w:color w:val="auto"/>
              </w:rPr>
            </w:pPr>
          </w:p>
        </w:tc>
        <w:tc>
          <w:tcPr>
            <w:tcW w:w="6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80" w:type="dxa"/>
            <w:vAlign w:val="bottom"/>
            <w:tcBorders>
              <w:bottom w:val="single" w:sz="8" w:color="071D49"/>
              <w:right w:val="single" w:sz="8" w:color="071D49"/>
            </w:tcBorders>
          </w:tcPr>
          <w:p>
            <w:pPr>
              <w:spacing w:after="0"/>
              <w:rPr>
                <w:sz w:val="9"/>
                <w:szCs w:val="9"/>
                <w:color w:val="auto"/>
              </w:rPr>
            </w:pPr>
          </w:p>
        </w:tc>
        <w:tc>
          <w:tcPr>
            <w:tcW w:w="69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7"/>
              </w:rPr>
              <w:t>Robust Stock</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6x salary for CEO and 3x salary for NEOs</w:t>
            </w:r>
          </w:p>
        </w:tc>
        <w:tc>
          <w:tcPr>
            <w:tcW w:w="0" w:type="dxa"/>
            <w:vAlign w:val="bottom"/>
          </w:tcPr>
          <w:p>
            <w:pPr>
              <w:spacing w:after="0"/>
              <w:rPr>
                <w:sz w:val="1"/>
                <w:szCs w:val="1"/>
                <w:color w:val="auto"/>
              </w:rPr>
            </w:pPr>
          </w:p>
        </w:tc>
      </w:tr>
      <w:tr>
        <w:trPr>
          <w:trHeight w:val="166"/>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8"/>
              </w:rPr>
              <w:t>Ownership</w:t>
            </w:r>
          </w:p>
        </w:tc>
        <w:tc>
          <w:tcPr>
            <w:tcW w:w="6980" w:type="dxa"/>
            <w:vAlign w:val="bottom"/>
          </w:tcPr>
          <w:p>
            <w:pPr>
              <w:ind w:left="160"/>
              <w:spacing w:after="0" w:line="16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5x annual fees for non-employee directors</w:t>
            </w:r>
          </w:p>
        </w:tc>
        <w:tc>
          <w:tcPr>
            <w:tcW w:w="0" w:type="dxa"/>
            <w:vAlign w:val="bottom"/>
          </w:tcPr>
          <w:p>
            <w:pPr>
              <w:spacing w:after="0"/>
              <w:rPr>
                <w:sz w:val="1"/>
                <w:szCs w:val="1"/>
                <w:color w:val="auto"/>
              </w:rPr>
            </w:pPr>
          </w:p>
        </w:tc>
      </w:tr>
      <w:tr>
        <w:trPr>
          <w:trHeight w:val="125"/>
        </w:trPr>
        <w:tc>
          <w:tcPr>
            <w:tcW w:w="2080" w:type="dxa"/>
            <w:vAlign w:val="bottom"/>
            <w:tcBorders>
              <w:right w:val="single" w:sz="8" w:color="071D49"/>
            </w:tcBorders>
            <w:vMerge w:val="continue"/>
          </w:tcPr>
          <w:p>
            <w:pPr>
              <w:spacing w:after="0"/>
              <w:rPr>
                <w:sz w:val="10"/>
                <w:szCs w:val="10"/>
                <w:color w:val="auto"/>
              </w:rPr>
            </w:pPr>
          </w:p>
        </w:tc>
        <w:tc>
          <w:tcPr>
            <w:tcW w:w="698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NEOs must hold and not sell equity until the minimum stock ownership requirement is</w:t>
            </w:r>
          </w:p>
        </w:tc>
        <w:tc>
          <w:tcPr>
            <w:tcW w:w="0" w:type="dxa"/>
            <w:vAlign w:val="bottom"/>
          </w:tcPr>
          <w:p>
            <w:pPr>
              <w:spacing w:after="0"/>
              <w:rPr>
                <w:sz w:val="1"/>
                <w:szCs w:val="1"/>
                <w:color w:val="auto"/>
              </w:rPr>
            </w:pPr>
          </w:p>
        </w:tc>
      </w:tr>
      <w:tr>
        <w:trPr>
          <w:trHeight w:val="108"/>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9"/>
              </w:rPr>
              <w:t>Requirements</w:t>
            </w:r>
          </w:p>
        </w:tc>
        <w:tc>
          <w:tcPr>
            <w:tcW w:w="6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80" w:type="dxa"/>
            <w:vAlign w:val="bottom"/>
            <w:tcBorders>
              <w:right w:val="single" w:sz="8" w:color="071D49"/>
            </w:tcBorders>
            <w:vMerge w:val="continue"/>
          </w:tcPr>
          <w:p>
            <w:pPr>
              <w:spacing w:after="0"/>
              <w:rPr>
                <w:sz w:val="13"/>
                <w:szCs w:val="13"/>
                <w:color w:val="auto"/>
              </w:rPr>
            </w:pPr>
          </w:p>
        </w:tc>
        <w:tc>
          <w:tcPr>
            <w:tcW w:w="6980" w:type="dxa"/>
            <w:vAlign w:val="bottom"/>
            <w:vMerge w:val="restart"/>
          </w:tcPr>
          <w:p>
            <w:pPr>
              <w:ind w:left="400"/>
              <w:spacing w:after="0"/>
              <w:rPr>
                <w:sz w:val="20"/>
                <w:szCs w:val="20"/>
                <w:color w:val="auto"/>
              </w:rPr>
            </w:pPr>
            <w:r>
              <w:rPr>
                <w:rFonts w:ascii="Arial" w:cs="Arial" w:eastAsia="Arial" w:hAnsi="Arial"/>
                <w:sz w:val="17"/>
                <w:szCs w:val="17"/>
                <w:color w:val="auto"/>
              </w:rPr>
              <w:t>satisfied</w:t>
            </w:r>
          </w:p>
        </w:tc>
        <w:tc>
          <w:tcPr>
            <w:tcW w:w="0" w:type="dxa"/>
            <w:vAlign w:val="bottom"/>
          </w:tcPr>
          <w:p>
            <w:pPr>
              <w:spacing w:after="0"/>
              <w:rPr>
                <w:sz w:val="1"/>
                <w:szCs w:val="1"/>
                <w:color w:val="auto"/>
              </w:rPr>
            </w:pPr>
          </w:p>
        </w:tc>
      </w:tr>
      <w:tr>
        <w:trPr>
          <w:trHeight w:val="53"/>
        </w:trPr>
        <w:tc>
          <w:tcPr>
            <w:tcW w:w="2080" w:type="dxa"/>
            <w:vAlign w:val="bottom"/>
            <w:tcBorders>
              <w:right w:val="single" w:sz="8" w:color="071D49"/>
            </w:tcBorders>
          </w:tcPr>
          <w:p>
            <w:pPr>
              <w:spacing w:after="0"/>
              <w:rPr>
                <w:sz w:val="4"/>
                <w:szCs w:val="4"/>
                <w:color w:val="auto"/>
              </w:rPr>
            </w:pPr>
          </w:p>
        </w:tc>
        <w:tc>
          <w:tcPr>
            <w:tcW w:w="6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80" w:type="dxa"/>
            <w:vAlign w:val="bottom"/>
            <w:tcBorders>
              <w:bottom w:val="single" w:sz="8" w:color="071D49"/>
              <w:right w:val="single" w:sz="8" w:color="071D49"/>
            </w:tcBorders>
          </w:tcPr>
          <w:p>
            <w:pPr>
              <w:spacing w:after="0"/>
              <w:rPr>
                <w:sz w:val="9"/>
                <w:szCs w:val="9"/>
                <w:color w:val="auto"/>
              </w:rPr>
            </w:pPr>
          </w:p>
        </w:tc>
        <w:tc>
          <w:tcPr>
            <w:tcW w:w="6980" w:type="dxa"/>
            <w:vAlign w:val="bottom"/>
            <w:tcBorders>
              <w:bottom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080" w:type="dxa"/>
            <w:vAlign w:val="bottom"/>
            <w:tcBorders>
              <w:right w:val="single" w:sz="8" w:color="071D49"/>
            </w:tcBorders>
          </w:tcPr>
          <w:p>
            <w:pPr>
              <w:spacing w:after="0"/>
              <w:rPr>
                <w:sz w:val="15"/>
                <w:szCs w:val="15"/>
                <w:color w:val="auto"/>
              </w:rPr>
            </w:pPr>
          </w:p>
        </w:tc>
        <w:tc>
          <w:tcPr>
            <w:tcW w:w="6980" w:type="dxa"/>
            <w:vAlign w:val="bottom"/>
          </w:tcPr>
          <w:p>
            <w:pPr>
              <w:ind w:left="160"/>
              <w:spacing w:after="0" w:line="180"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single trigger vesting of equity or other benefits in the event of a change in control</w:t>
            </w:r>
          </w:p>
        </w:tc>
        <w:tc>
          <w:tcPr>
            <w:tcW w:w="0" w:type="dxa"/>
            <w:vAlign w:val="bottom"/>
          </w:tcPr>
          <w:p>
            <w:pPr>
              <w:spacing w:after="0"/>
              <w:rPr>
                <w:sz w:val="1"/>
                <w:szCs w:val="1"/>
                <w:color w:val="auto"/>
              </w:rPr>
            </w:pPr>
          </w:p>
        </w:tc>
      </w:tr>
      <w:tr>
        <w:trPr>
          <w:trHeight w:val="216"/>
        </w:trPr>
        <w:tc>
          <w:tcPr>
            <w:tcW w:w="2080" w:type="dxa"/>
            <w:vAlign w:val="bottom"/>
            <w:tcBorders>
              <w:right w:val="single" w:sz="8" w:color="071D49"/>
            </w:tcBorders>
          </w:tcPr>
          <w:p>
            <w:pPr>
              <w:spacing w:after="0"/>
              <w:rPr>
                <w:sz w:val="18"/>
                <w:szCs w:val="18"/>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repricing of stock options without express stockholder approval</w:t>
            </w:r>
          </w:p>
        </w:tc>
        <w:tc>
          <w:tcPr>
            <w:tcW w:w="0" w:type="dxa"/>
            <w:vAlign w:val="bottom"/>
          </w:tcPr>
          <w:p>
            <w:pPr>
              <w:spacing w:after="0"/>
              <w:rPr>
                <w:sz w:val="1"/>
                <w:szCs w:val="1"/>
                <w:color w:val="auto"/>
              </w:rPr>
            </w:pPr>
          </w:p>
        </w:tc>
      </w:tr>
      <w:tr>
        <w:trPr>
          <w:trHeight w:val="253"/>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2"/>
                <w:szCs w:val="22"/>
                <w:color w:val="auto"/>
                <w:w w:val="98"/>
              </w:rPr>
              <w:t>Responsible Pay</w:t>
            </w: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tax gross-ups in executive compensation program</w:t>
            </w:r>
          </w:p>
        </w:tc>
        <w:tc>
          <w:tcPr>
            <w:tcW w:w="0" w:type="dxa"/>
            <w:vAlign w:val="bottom"/>
          </w:tcPr>
          <w:p>
            <w:pPr>
              <w:spacing w:after="0"/>
              <w:rPr>
                <w:sz w:val="1"/>
                <w:szCs w:val="1"/>
                <w:color w:val="auto"/>
              </w:rPr>
            </w:pPr>
          </w:p>
        </w:tc>
      </w:tr>
      <w:tr>
        <w:trPr>
          <w:trHeight w:val="179"/>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2"/>
                <w:szCs w:val="22"/>
                <w:color w:val="auto"/>
                <w:w w:val="97"/>
              </w:rPr>
              <w:t>Practices</w:t>
            </w:r>
          </w:p>
        </w:tc>
        <w:tc>
          <w:tcPr>
            <w:tcW w:w="6980" w:type="dxa"/>
            <w:vAlign w:val="bottom"/>
          </w:tcPr>
          <w:p>
            <w:pPr>
              <w:ind w:left="160"/>
              <w:spacing w:after="0" w:line="180"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employment contracts</w:t>
            </w:r>
          </w:p>
        </w:tc>
        <w:tc>
          <w:tcPr>
            <w:tcW w:w="0" w:type="dxa"/>
            <w:vAlign w:val="bottom"/>
          </w:tcPr>
          <w:p>
            <w:pPr>
              <w:spacing w:after="0"/>
              <w:rPr>
                <w:sz w:val="1"/>
                <w:szCs w:val="1"/>
                <w:color w:val="auto"/>
              </w:rPr>
            </w:pPr>
          </w:p>
        </w:tc>
      </w:tr>
      <w:tr>
        <w:trPr>
          <w:trHeight w:val="128"/>
        </w:trPr>
        <w:tc>
          <w:tcPr>
            <w:tcW w:w="2080" w:type="dxa"/>
            <w:vAlign w:val="bottom"/>
            <w:tcBorders>
              <w:right w:val="single" w:sz="8" w:color="071D49"/>
            </w:tcBorders>
            <w:vMerge w:val="continue"/>
          </w:tcPr>
          <w:p>
            <w:pPr>
              <w:spacing w:after="0"/>
              <w:rPr>
                <w:sz w:val="11"/>
                <w:szCs w:val="11"/>
                <w:color w:val="auto"/>
              </w:rPr>
            </w:pPr>
          </w:p>
        </w:tc>
        <w:tc>
          <w:tcPr>
            <w:tcW w:w="698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guaranteed short-term incentives or equity awards</w:t>
            </w:r>
          </w:p>
        </w:tc>
        <w:tc>
          <w:tcPr>
            <w:tcW w:w="0" w:type="dxa"/>
            <w:vAlign w:val="bottom"/>
          </w:tcPr>
          <w:p>
            <w:pPr>
              <w:spacing w:after="0"/>
              <w:rPr>
                <w:sz w:val="1"/>
                <w:szCs w:val="1"/>
                <w:color w:val="auto"/>
              </w:rPr>
            </w:pPr>
          </w:p>
        </w:tc>
      </w:tr>
      <w:tr>
        <w:trPr>
          <w:trHeight w:val="88"/>
        </w:trPr>
        <w:tc>
          <w:tcPr>
            <w:tcW w:w="2080" w:type="dxa"/>
            <w:vAlign w:val="bottom"/>
            <w:tcBorders>
              <w:right w:val="single" w:sz="8" w:color="071D49"/>
            </w:tcBorders>
          </w:tcPr>
          <w:p>
            <w:pPr>
              <w:spacing w:after="0"/>
              <w:rPr>
                <w:sz w:val="7"/>
                <w:szCs w:val="7"/>
                <w:color w:val="auto"/>
              </w:rPr>
            </w:pPr>
          </w:p>
        </w:tc>
        <w:tc>
          <w:tcPr>
            <w:tcW w:w="6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80" w:type="dxa"/>
            <w:vAlign w:val="bottom"/>
            <w:tcBorders>
              <w:right w:val="single" w:sz="8" w:color="071D49"/>
            </w:tcBorders>
          </w:tcPr>
          <w:p>
            <w:pPr>
              <w:spacing w:after="0"/>
              <w:rPr>
                <w:sz w:val="23"/>
                <w:szCs w:val="23"/>
                <w:color w:val="auto"/>
              </w:rPr>
            </w:pPr>
          </w:p>
        </w:tc>
        <w:tc>
          <w:tcPr>
            <w:tcW w:w="6980" w:type="dxa"/>
            <w:vAlign w:val="bottom"/>
          </w:tcPr>
          <w:p>
            <w:pPr>
              <w:ind w:left="160"/>
              <w:spacing w:after="0" w:line="196" w:lineRule="exact"/>
              <w:rPr>
                <w:sz w:val="20"/>
                <w:szCs w:val="20"/>
                <w:color w:val="auto"/>
              </w:rPr>
            </w:pPr>
            <w:r>
              <w:rPr>
                <w:rFonts w:ascii="MS PGothic" w:cs="MS PGothic" w:eastAsia="MS PGothic" w:hAnsi="MS PGothic"/>
                <w:sz w:val="17"/>
                <w:szCs w:val="17"/>
                <w:color w:val="071D49"/>
              </w:rPr>
              <w:t>✓</w:t>
            </w:r>
            <w:r>
              <w:rPr>
                <w:rFonts w:ascii="Arial" w:cs="Arial" w:eastAsia="Arial" w:hAnsi="Arial"/>
                <w:sz w:val="17"/>
                <w:szCs w:val="17"/>
                <w:color w:val="auto"/>
              </w:rPr>
              <w:t xml:space="preserve"> No dividends paid on unearned performance awards</w:t>
            </w:r>
          </w:p>
        </w:tc>
        <w:tc>
          <w:tcPr>
            <w:tcW w:w="0" w:type="dxa"/>
            <w:vAlign w:val="bottom"/>
          </w:tcPr>
          <w:p>
            <w:pPr>
              <w:spacing w:after="0"/>
              <w:rPr>
                <w:sz w:val="1"/>
                <w:szCs w:val="1"/>
                <w:color w:val="auto"/>
              </w:rPr>
            </w:pPr>
          </w:p>
        </w:tc>
      </w:tr>
      <w:tr>
        <w:trPr>
          <w:trHeight w:val="92"/>
        </w:trPr>
        <w:tc>
          <w:tcPr>
            <w:tcW w:w="2080" w:type="dxa"/>
            <w:vAlign w:val="bottom"/>
            <w:tcBorders>
              <w:right w:val="single" w:sz="8" w:color="071D49"/>
            </w:tcBorders>
          </w:tcPr>
          <w:p>
            <w:pPr>
              <w:spacing w:after="0"/>
              <w:rPr>
                <w:sz w:val="8"/>
                <w:szCs w:val="8"/>
                <w:color w:val="auto"/>
              </w:rPr>
            </w:pPr>
          </w:p>
        </w:tc>
        <w:tc>
          <w:tcPr>
            <w:tcW w:w="6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874395" cy="1625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Executive Compensation Process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TO PERFORMANCE-BASED AWARDS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majority of AbbVie’s NEO pay is performance-based. Specific goals and targets are the foundation of our pay-for-performance process, and this section describes how they apply to each pay component.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follows.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PROCESS FOR SETTING TOTAL COMPENSATION</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BENCHMARKING</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208"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71D49"/>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-125095</wp:posOffset>
            </wp:positionV>
            <wp:extent cx="2931795"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31795" cy="146050"/>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Amgen, Inc.</w:t>
      </w:r>
    </w:p>
    <w:p>
      <w:pPr>
        <w:ind w:left="2380"/>
        <w:spacing w:after="0" w:line="234" w:lineRule="auto"/>
        <w:rPr>
          <w:sz w:val="20"/>
          <w:szCs w:val="20"/>
          <w:color w:val="auto"/>
        </w:rPr>
      </w:pPr>
      <w:r>
        <w:rPr>
          <w:rFonts w:ascii="Arial" w:cs="Arial" w:eastAsia="Arial" w:hAnsi="Arial"/>
          <w:sz w:val="18"/>
          <w:szCs w:val="18"/>
          <w:color w:val="auto"/>
        </w:rPr>
        <w:t>Bristol-Myers Squibb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-127000</wp:posOffset>
            </wp:positionV>
            <wp:extent cx="293179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31795" cy="128905"/>
                    </a:xfrm>
                    <a:prstGeom prst="rect">
                      <a:avLst/>
                    </a:prstGeom>
                    <a:noFill/>
                  </pic:spPr>
                </pic:pic>
              </a:graphicData>
            </a:graphic>
          </wp:anchor>
        </w:drawing>
      </w:r>
    </w:p>
    <w:p>
      <w:pPr>
        <w:ind w:left="2380"/>
        <w:spacing w:after="0" w:line="235" w:lineRule="auto"/>
        <w:rPr>
          <w:sz w:val="20"/>
          <w:szCs w:val="20"/>
          <w:color w:val="auto"/>
        </w:rPr>
      </w:pPr>
      <w:r>
        <w:rPr>
          <w:rFonts w:ascii="Arial" w:cs="Arial" w:eastAsia="Arial" w:hAnsi="Arial"/>
          <w:sz w:val="18"/>
          <w:szCs w:val="18"/>
          <w:color w:val="auto"/>
        </w:rPr>
        <w:t>Eli Lilly and Company</w:t>
      </w:r>
    </w:p>
    <w:p>
      <w:pPr>
        <w:ind w:left="2380"/>
        <w:spacing w:after="0" w:line="235" w:lineRule="auto"/>
        <w:rPr>
          <w:sz w:val="20"/>
          <w:szCs w:val="20"/>
          <w:color w:val="auto"/>
        </w:rPr>
      </w:pPr>
      <w:r>
        <w:rPr>
          <w:rFonts w:ascii="Arial" w:cs="Arial" w:eastAsia="Arial" w:hAnsi="Arial"/>
          <w:sz w:val="18"/>
          <w:szCs w:val="18"/>
          <w:color w:val="auto"/>
        </w:rPr>
        <w:t>Gilead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-127000</wp:posOffset>
            </wp:positionV>
            <wp:extent cx="293179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31795" cy="128905"/>
                    </a:xfrm>
                    <a:prstGeom prst="rect">
                      <a:avLst/>
                    </a:prstGeom>
                    <a:noFill/>
                  </pic:spPr>
                </pic:pic>
              </a:graphicData>
            </a:graphic>
          </wp:anchor>
        </w:drawing>
      </w:r>
    </w:p>
    <w:p>
      <w:pPr>
        <w:ind w:left="2380"/>
        <w:spacing w:after="0" w:line="235" w:lineRule="auto"/>
        <w:rPr>
          <w:sz w:val="20"/>
          <w:szCs w:val="20"/>
          <w:color w:val="auto"/>
        </w:rPr>
      </w:pPr>
      <w:r>
        <w:rPr>
          <w:rFonts w:ascii="Arial" w:cs="Arial" w:eastAsia="Arial" w:hAnsi="Arial"/>
          <w:sz w:val="18"/>
          <w:szCs w:val="18"/>
          <w:color w:val="auto"/>
        </w:rPr>
        <w:t>GlaxoSmithKline plc</w:t>
      </w:r>
    </w:p>
    <w:p>
      <w:pPr>
        <w:ind w:left="2380"/>
        <w:spacing w:after="0" w:line="235" w:lineRule="auto"/>
        <w:rPr>
          <w:sz w:val="20"/>
          <w:szCs w:val="20"/>
          <w:color w:val="auto"/>
        </w:rPr>
      </w:pPr>
      <w:r>
        <w:rPr>
          <w:rFonts w:ascii="Arial" w:cs="Arial" w:eastAsia="Arial" w:hAnsi="Arial"/>
          <w:sz w:val="18"/>
          <w:szCs w:val="18"/>
          <w:color w:val="auto"/>
        </w:rPr>
        <w:t>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-127635</wp:posOffset>
            </wp:positionV>
            <wp:extent cx="293179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31795" cy="128905"/>
                    </a:xfrm>
                    <a:prstGeom prst="rect">
                      <a:avLst/>
                    </a:prstGeom>
                    <a:noFill/>
                  </pic:spPr>
                </pic:pic>
              </a:graphicData>
            </a:graphic>
          </wp:anchor>
        </w:drawing>
      </w:r>
    </w:p>
    <w:p>
      <w:pPr>
        <w:ind w:left="2380"/>
        <w:spacing w:after="0" w:line="234" w:lineRule="auto"/>
        <w:rPr>
          <w:sz w:val="20"/>
          <w:szCs w:val="20"/>
          <w:color w:val="auto"/>
        </w:rPr>
      </w:pPr>
      <w:r>
        <w:rPr>
          <w:rFonts w:ascii="Arial" w:cs="Arial" w:eastAsia="Arial" w:hAnsi="Arial"/>
          <w:sz w:val="18"/>
          <w:szCs w:val="18"/>
          <w:color w:val="auto"/>
        </w:rPr>
        <w:t>Merck &amp; Company, Inc.</w:t>
      </w:r>
    </w:p>
    <w:p>
      <w:pPr>
        <w:ind w:left="2380"/>
        <w:spacing w:after="0" w:line="235" w:lineRule="auto"/>
        <w:rPr>
          <w:sz w:val="20"/>
          <w:szCs w:val="20"/>
          <w:color w:val="auto"/>
        </w:rPr>
      </w:pPr>
      <w:r>
        <w:rPr>
          <w:rFonts w:ascii="Arial" w:cs="Arial" w:eastAsia="Arial" w:hAnsi="Arial"/>
          <w:sz w:val="18"/>
          <w:szCs w:val="18"/>
          <w:color w:val="auto"/>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-127000</wp:posOffset>
            </wp:positionV>
            <wp:extent cx="293179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31795" cy="12890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-1905</wp:posOffset>
            </wp:positionV>
            <wp:extent cx="29317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CONSULTANT</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compensation committee has engaged Compensation Advisory Partners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The committee determines what variables it will instruct its consultant to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OVERSIGHT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unlikely event that incentive plan award decisions are based on earnings that are subsequently restated or based on misconduct that would constitute a material breach of the AbbVie Code of Business Conduct. The committee, in collaboration with its independent compensation consultant, identified no material risks in AbbVie’s compensation programs in 2021.</w:t>
      </w:r>
    </w:p>
    <w:p>
      <w:pPr>
        <w:spacing w:after="0" w:line="20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When considering compensation-related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Compensation Plan Elements</w:t>
      </w:r>
    </w:p>
    <w:p>
      <w:pPr>
        <w:spacing w:after="0" w:line="23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Three primary components make up AbbVie’s executive pay program: (1) base salary, (2) short-term incentives and (3) long-term incentives. The structure of each component is tailored to serve a specific function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125730</wp:posOffset>
            </wp:positionV>
            <wp:extent cx="5760720" cy="16630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his or her market benchmark based on the NEO’s performance, experience, unique skills, internal equity with others at AbbVie, and the company’s operating budget.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INCENTIVES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Performance Incentive Plan</w:t>
      </w:r>
    </w:p>
    <w:p>
      <w:pPr>
        <w:spacing w:after="0" w:line="1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874395" cy="1625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0"/>
          </w:cols>
          <w:pgMar w:left="1320" w:top="530" w:right="1359" w:bottom="1440" w:gutter="0" w:footer="0" w:header="0"/>
        </w:sectPr>
      </w:pPr>
    </w:p>
    <w:bookmarkStart w:id="45" w:name="page46"/>
    <w:bookmarkEnd w:id="45"/>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jc w:val="both"/>
        <w:ind w:left="20" w:right="100"/>
        <w:spacing w:after="0"/>
        <w:rPr>
          <w:sz w:val="20"/>
          <w:szCs w:val="20"/>
          <w:color w:val="auto"/>
        </w:rPr>
      </w:pPr>
      <w:r>
        <w:rPr>
          <w:rFonts w:ascii="Arial" w:cs="Arial" w:eastAsia="Arial" w:hAnsi="Arial"/>
          <w:sz w:val="18"/>
          <w:szCs w:val="18"/>
          <w:color w:val="auto"/>
        </w:rPr>
        <w:t>NEO target incentive amounts are set as a percentage of base salary. Mr. Gonzalez’s target is 165% of base salary. The targets for the other NEOs range from 110% to 125% of base salary. The maximum potential payout under the PIP is capped at 200% of target for all participants.</w:t>
      </w:r>
    </w:p>
    <w:p>
      <w:pPr>
        <w:spacing w:after="0" w:line="189"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Determining actual incentive amounts is a multi-step process. First, an initial performance score is calculated for each NEO based on performance against weighted financial and strategic/leadership goals. This performance score results in a preliminary award amount of up to 100% of target only. Final awards are determined by the compensation committee based on a qualitative assessment of holistic performance. A formal payout matrix based on net revenues and income before taxes guides the committee by capping the range of final awards at or below the plan maximum of 200% of target. This process is more fully described below:</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Illustration of 2021 Incentive Calculation</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1340" w:type="dxa"/>
            <w:vAlign w:val="bottom"/>
            <w:tcBorders>
              <w:top w:val="single" w:sz="8" w:color="071D49"/>
              <w:left w:val="single" w:sz="8" w:color="071D49"/>
              <w:right w:val="single" w:sz="8" w:color="071D49"/>
            </w:tcBorders>
          </w:tcPr>
          <w:p>
            <w:pPr>
              <w:ind w:left="460"/>
              <w:spacing w:after="0"/>
              <w:rPr>
                <w:sz w:val="20"/>
                <w:szCs w:val="20"/>
                <w:color w:val="auto"/>
              </w:rPr>
            </w:pPr>
            <w:r>
              <w:rPr>
                <w:rFonts w:ascii="Arial" w:cs="Arial" w:eastAsia="Arial" w:hAnsi="Arial"/>
                <w:sz w:val="14"/>
                <w:szCs w:val="14"/>
                <w:b w:val="1"/>
                <w:bCs w:val="1"/>
                <w:color w:val="5F5F5F"/>
              </w:rPr>
              <w:t>Target</w:t>
            </w:r>
          </w:p>
        </w:tc>
        <w:tc>
          <w:tcPr>
            <w:tcW w:w="80" w:type="dxa"/>
            <w:vAlign w:val="bottom"/>
          </w:tcPr>
          <w:p>
            <w:pPr>
              <w:spacing w:after="0"/>
              <w:rPr>
                <w:sz w:val="24"/>
                <w:szCs w:val="24"/>
                <w:color w:val="auto"/>
              </w:rPr>
            </w:pPr>
          </w:p>
        </w:tc>
        <w:tc>
          <w:tcPr>
            <w:tcW w:w="280" w:type="dxa"/>
            <w:vAlign w:val="bottom"/>
            <w:tcBorders>
              <w:right w:val="single" w:sz="8" w:color="071D49"/>
            </w:tcBorders>
          </w:tcPr>
          <w:p>
            <w:pPr>
              <w:ind w:left="60"/>
              <w:spacing w:after="0"/>
              <w:rPr>
                <w:sz w:val="20"/>
                <w:szCs w:val="20"/>
                <w:color w:val="auto"/>
              </w:rPr>
            </w:pPr>
            <w:r>
              <w:rPr>
                <w:rFonts w:ascii="Arial" w:cs="Arial" w:eastAsia="Arial" w:hAnsi="Arial"/>
                <w:sz w:val="14"/>
                <w:szCs w:val="14"/>
                <w:b w:val="1"/>
                <w:bCs w:val="1"/>
                <w:color w:val="5F5F5F"/>
              </w:rPr>
              <w:t>x</w:t>
            </w:r>
          </w:p>
        </w:tc>
        <w:tc>
          <w:tcPr>
            <w:tcW w:w="134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Performance</w:t>
            </w:r>
          </w:p>
        </w:tc>
        <w:tc>
          <w:tcPr>
            <w:tcW w:w="360" w:type="dxa"/>
            <w:vAlign w:val="bottom"/>
            <w:tcBorders>
              <w:right w:val="single" w:sz="8" w:color="071D49"/>
            </w:tcBorders>
          </w:tcPr>
          <w:p>
            <w:pPr>
              <w:jc w:val="right"/>
              <w:ind w:right="68"/>
              <w:spacing w:after="0"/>
              <w:rPr>
                <w:sz w:val="20"/>
                <w:szCs w:val="20"/>
                <w:color w:val="auto"/>
              </w:rPr>
            </w:pPr>
            <w:r>
              <w:rPr>
                <w:rFonts w:ascii="Arial" w:cs="Arial" w:eastAsia="Arial" w:hAnsi="Arial"/>
                <w:sz w:val="14"/>
                <w:szCs w:val="14"/>
                <w:b w:val="1"/>
                <w:bCs w:val="1"/>
                <w:color w:val="5F5F5F"/>
              </w:rPr>
              <w:t>=</w:t>
            </w:r>
          </w:p>
        </w:tc>
        <w:tc>
          <w:tcPr>
            <w:tcW w:w="134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Preliminary</w:t>
            </w:r>
          </w:p>
        </w:tc>
        <w:tc>
          <w:tcPr>
            <w:tcW w:w="360" w:type="dxa"/>
            <w:vAlign w:val="bottom"/>
            <w:tcBorders>
              <w:right w:val="single" w:sz="8" w:color="071D49"/>
            </w:tcBorders>
          </w:tcPr>
          <w:p>
            <w:pPr>
              <w:ind w:left="80"/>
              <w:spacing w:after="0"/>
              <w:rPr>
                <w:sz w:val="20"/>
                <w:szCs w:val="20"/>
                <w:color w:val="auto"/>
              </w:rPr>
            </w:pPr>
            <w:r>
              <w:rPr>
                <w:rFonts w:ascii="Arial" w:cs="Arial" w:eastAsia="Arial" w:hAnsi="Arial"/>
                <w:sz w:val="18"/>
                <w:szCs w:val="18"/>
                <w:b w:val="1"/>
                <w:bCs w:val="1"/>
                <w:color w:val="5F5F5F"/>
              </w:rPr>
              <w:t>→</w:t>
            </w:r>
          </w:p>
        </w:tc>
        <w:tc>
          <w:tcPr>
            <w:tcW w:w="190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Final Committee</w:t>
            </w:r>
          </w:p>
        </w:tc>
        <w:tc>
          <w:tcPr>
            <w:tcW w:w="360" w:type="dxa"/>
            <w:vAlign w:val="bottom"/>
            <w:tcBorders>
              <w:right w:val="single" w:sz="8" w:color="071D49"/>
            </w:tcBorders>
          </w:tcPr>
          <w:p>
            <w:pPr>
              <w:jc w:val="center"/>
              <w:spacing w:after="0"/>
              <w:rPr>
                <w:sz w:val="20"/>
                <w:szCs w:val="20"/>
                <w:color w:val="auto"/>
              </w:rPr>
            </w:pPr>
            <w:r>
              <w:rPr>
                <w:rFonts w:ascii="Arial" w:cs="Arial" w:eastAsia="Arial" w:hAnsi="Arial"/>
                <w:sz w:val="14"/>
                <w:szCs w:val="14"/>
                <w:b w:val="1"/>
                <w:bCs w:val="1"/>
                <w:color w:val="5F5F5F"/>
                <w:w w:val="97"/>
              </w:rPr>
              <w:t>=</w:t>
            </w:r>
          </w:p>
        </w:tc>
        <w:tc>
          <w:tcPr>
            <w:tcW w:w="720" w:type="dxa"/>
            <w:vAlign w:val="bottom"/>
            <w:tcBorders>
              <w:top w:val="single" w:sz="8" w:color="071D49"/>
            </w:tcBorders>
          </w:tcPr>
          <w:p>
            <w:pPr>
              <w:spacing w:after="0"/>
              <w:rPr>
                <w:sz w:val="24"/>
                <w:szCs w:val="24"/>
                <w:color w:val="auto"/>
              </w:rPr>
            </w:pPr>
          </w:p>
        </w:tc>
        <w:tc>
          <w:tcPr>
            <w:tcW w:w="1180" w:type="dxa"/>
            <w:vAlign w:val="bottom"/>
            <w:tcBorders>
              <w:top w:val="single" w:sz="8" w:color="071D49"/>
              <w:right w:val="single" w:sz="8" w:color="071D49"/>
            </w:tcBorders>
          </w:tcPr>
          <w:p>
            <w:pPr>
              <w:jc w:val="center"/>
              <w:ind w:right="648"/>
              <w:spacing w:after="0"/>
              <w:rPr>
                <w:sz w:val="20"/>
                <w:szCs w:val="20"/>
                <w:color w:val="auto"/>
              </w:rPr>
            </w:pPr>
            <w:r>
              <w:rPr>
                <w:rFonts w:ascii="Arial" w:cs="Arial" w:eastAsia="Arial" w:hAnsi="Arial"/>
                <w:sz w:val="14"/>
                <w:szCs w:val="14"/>
                <w:b w:val="1"/>
                <w:bCs w:val="1"/>
                <w:color w:val="5F5F5F"/>
              </w:rPr>
              <w:t>Final</w:t>
            </w:r>
          </w:p>
        </w:tc>
        <w:tc>
          <w:tcPr>
            <w:tcW w:w="0" w:type="dxa"/>
            <w:vAlign w:val="bottom"/>
          </w:tcPr>
          <w:p>
            <w:pPr>
              <w:spacing w:after="0"/>
              <w:rPr>
                <w:sz w:val="1"/>
                <w:szCs w:val="1"/>
                <w:color w:val="auto"/>
              </w:rPr>
            </w:pPr>
          </w:p>
        </w:tc>
      </w:tr>
      <w:tr>
        <w:trPr>
          <w:trHeight w:val="190"/>
        </w:trPr>
        <w:tc>
          <w:tcPr>
            <w:tcW w:w="1340" w:type="dxa"/>
            <w:vAlign w:val="bottom"/>
            <w:tcBorders>
              <w:left w:val="single" w:sz="8" w:color="071D49"/>
              <w:right w:val="single" w:sz="8" w:color="071D49"/>
            </w:tcBorders>
          </w:tcPr>
          <w:p>
            <w:pPr>
              <w:ind w:left="460"/>
              <w:spacing w:after="0"/>
              <w:rPr>
                <w:sz w:val="20"/>
                <w:szCs w:val="20"/>
                <w:color w:val="auto"/>
              </w:rPr>
            </w:pPr>
            <w:r>
              <w:rPr>
                <w:rFonts w:ascii="Arial" w:cs="Arial" w:eastAsia="Arial" w:hAnsi="Arial"/>
                <w:sz w:val="14"/>
                <w:szCs w:val="14"/>
                <w:b w:val="1"/>
                <w:bCs w:val="1"/>
                <w:color w:val="5F5F5F"/>
              </w:rPr>
              <w:t>Award</w:t>
            </w:r>
          </w:p>
        </w:tc>
        <w:tc>
          <w:tcPr>
            <w:tcW w:w="80" w:type="dxa"/>
            <w:vAlign w:val="bottom"/>
          </w:tcPr>
          <w:p>
            <w:pPr>
              <w:spacing w:after="0"/>
              <w:rPr>
                <w:sz w:val="16"/>
                <w:szCs w:val="16"/>
                <w:color w:val="auto"/>
              </w:rPr>
            </w:pPr>
          </w:p>
        </w:tc>
        <w:tc>
          <w:tcPr>
            <w:tcW w:w="280" w:type="dxa"/>
            <w:vAlign w:val="bottom"/>
            <w:tcBorders>
              <w:right w:val="single" w:sz="8" w:color="071D49"/>
            </w:tcBorders>
          </w:tcPr>
          <w:p>
            <w:pPr>
              <w:spacing w:after="0"/>
              <w:rPr>
                <w:sz w:val="16"/>
                <w:szCs w:val="16"/>
                <w:color w:val="auto"/>
              </w:rPr>
            </w:pPr>
          </w:p>
        </w:tc>
        <w:tc>
          <w:tcPr>
            <w:tcW w:w="1340" w:type="dxa"/>
            <w:vAlign w:val="bottom"/>
            <w:tcBorders>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Score</w:t>
            </w:r>
          </w:p>
        </w:tc>
        <w:tc>
          <w:tcPr>
            <w:tcW w:w="360" w:type="dxa"/>
            <w:vAlign w:val="bottom"/>
            <w:tcBorders>
              <w:right w:val="single" w:sz="8" w:color="071D49"/>
            </w:tcBorders>
          </w:tcPr>
          <w:p>
            <w:pPr>
              <w:spacing w:after="0"/>
              <w:rPr>
                <w:sz w:val="16"/>
                <w:szCs w:val="16"/>
                <w:color w:val="auto"/>
              </w:rPr>
            </w:pPr>
          </w:p>
        </w:tc>
        <w:tc>
          <w:tcPr>
            <w:tcW w:w="1340" w:type="dxa"/>
            <w:vAlign w:val="bottom"/>
            <w:tcBorders>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Award</w:t>
            </w:r>
          </w:p>
        </w:tc>
        <w:tc>
          <w:tcPr>
            <w:tcW w:w="360" w:type="dxa"/>
            <w:vAlign w:val="bottom"/>
            <w:tcBorders>
              <w:right w:val="single" w:sz="8" w:color="071D49"/>
            </w:tcBorders>
          </w:tcPr>
          <w:p>
            <w:pPr>
              <w:spacing w:after="0"/>
              <w:rPr>
                <w:sz w:val="16"/>
                <w:szCs w:val="16"/>
                <w:color w:val="auto"/>
              </w:rPr>
            </w:pPr>
          </w:p>
        </w:tc>
        <w:tc>
          <w:tcPr>
            <w:tcW w:w="1900" w:type="dxa"/>
            <w:vAlign w:val="bottom"/>
            <w:tcBorders>
              <w:right w:val="single" w:sz="8" w:color="071D49"/>
            </w:tcBorders>
          </w:tcPr>
          <w:p>
            <w:pPr>
              <w:jc w:val="center"/>
              <w:spacing w:after="0"/>
              <w:rPr>
                <w:sz w:val="20"/>
                <w:szCs w:val="20"/>
                <w:color w:val="auto"/>
              </w:rPr>
            </w:pPr>
            <w:r>
              <w:rPr>
                <w:rFonts w:ascii="Arial" w:cs="Arial" w:eastAsia="Arial" w:hAnsi="Arial"/>
                <w:sz w:val="14"/>
                <w:szCs w:val="14"/>
                <w:b w:val="1"/>
                <w:bCs w:val="1"/>
                <w:color w:val="5F5F5F"/>
              </w:rPr>
              <w:t>Decision</w:t>
            </w:r>
          </w:p>
        </w:tc>
        <w:tc>
          <w:tcPr>
            <w:tcW w:w="360" w:type="dxa"/>
            <w:vAlign w:val="bottom"/>
            <w:tcBorders>
              <w:right w:val="single" w:sz="8" w:color="071D49"/>
            </w:tcBorders>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Borders>
              <w:right w:val="single" w:sz="8" w:color="071D49"/>
            </w:tcBorders>
          </w:tcPr>
          <w:p>
            <w:pPr>
              <w:jc w:val="center"/>
              <w:ind w:right="668"/>
              <w:spacing w:after="0"/>
              <w:rPr>
                <w:sz w:val="20"/>
                <w:szCs w:val="20"/>
                <w:color w:val="auto"/>
              </w:rPr>
            </w:pPr>
            <w:r>
              <w:rPr>
                <w:rFonts w:ascii="Arial" w:cs="Arial" w:eastAsia="Arial" w:hAnsi="Arial"/>
                <w:sz w:val="14"/>
                <w:szCs w:val="14"/>
                <w:b w:val="1"/>
                <w:bCs w:val="1"/>
                <w:color w:val="5F5F5F"/>
              </w:rPr>
              <w:t>Award</w:t>
            </w:r>
          </w:p>
        </w:tc>
        <w:tc>
          <w:tcPr>
            <w:tcW w:w="0" w:type="dxa"/>
            <w:vAlign w:val="bottom"/>
          </w:tcPr>
          <w:p>
            <w:pPr>
              <w:spacing w:after="0"/>
              <w:rPr>
                <w:sz w:val="1"/>
                <w:szCs w:val="1"/>
                <w:color w:val="auto"/>
              </w:rPr>
            </w:pPr>
          </w:p>
        </w:tc>
      </w:tr>
      <w:tr>
        <w:trPr>
          <w:trHeight w:val="129"/>
        </w:trPr>
        <w:tc>
          <w:tcPr>
            <w:tcW w:w="1340" w:type="dxa"/>
            <w:vAlign w:val="bottom"/>
            <w:tcBorders>
              <w:left w:val="single" w:sz="8" w:color="071D49"/>
              <w:bottom w:val="single" w:sz="8" w:color="071D49"/>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right w:val="single" w:sz="8" w:color="071D49"/>
            </w:tcBorders>
          </w:tcPr>
          <w:p>
            <w:pPr>
              <w:spacing w:after="0"/>
              <w:rPr>
                <w:sz w:val="11"/>
                <w:szCs w:val="11"/>
                <w:color w:val="auto"/>
              </w:rPr>
            </w:pPr>
          </w:p>
        </w:tc>
        <w:tc>
          <w:tcPr>
            <w:tcW w:w="1340" w:type="dxa"/>
            <w:vAlign w:val="bottom"/>
            <w:tcBorders>
              <w:bottom w:val="single" w:sz="8" w:color="071D49"/>
              <w:right w:val="single" w:sz="8" w:color="071D49"/>
            </w:tcBorders>
          </w:tcPr>
          <w:p>
            <w:pPr>
              <w:spacing w:after="0"/>
              <w:rPr>
                <w:sz w:val="11"/>
                <w:szCs w:val="11"/>
                <w:color w:val="auto"/>
              </w:rPr>
            </w:pPr>
          </w:p>
        </w:tc>
        <w:tc>
          <w:tcPr>
            <w:tcW w:w="360" w:type="dxa"/>
            <w:vAlign w:val="bottom"/>
            <w:tcBorders>
              <w:right w:val="single" w:sz="8" w:color="071D49"/>
            </w:tcBorders>
          </w:tcPr>
          <w:p>
            <w:pPr>
              <w:spacing w:after="0"/>
              <w:rPr>
                <w:sz w:val="11"/>
                <w:szCs w:val="11"/>
                <w:color w:val="auto"/>
              </w:rPr>
            </w:pPr>
          </w:p>
        </w:tc>
        <w:tc>
          <w:tcPr>
            <w:tcW w:w="1340" w:type="dxa"/>
            <w:vAlign w:val="bottom"/>
            <w:tcBorders>
              <w:bottom w:val="single" w:sz="8" w:color="071D49"/>
              <w:right w:val="single" w:sz="8" w:color="071D49"/>
            </w:tcBorders>
          </w:tcPr>
          <w:p>
            <w:pPr>
              <w:spacing w:after="0"/>
              <w:rPr>
                <w:sz w:val="11"/>
                <w:szCs w:val="11"/>
                <w:color w:val="auto"/>
              </w:rPr>
            </w:pPr>
          </w:p>
        </w:tc>
        <w:tc>
          <w:tcPr>
            <w:tcW w:w="360" w:type="dxa"/>
            <w:vAlign w:val="bottom"/>
            <w:tcBorders>
              <w:right w:val="single" w:sz="8" w:color="071D49"/>
            </w:tcBorders>
          </w:tcPr>
          <w:p>
            <w:pPr>
              <w:spacing w:after="0"/>
              <w:rPr>
                <w:sz w:val="11"/>
                <w:szCs w:val="11"/>
                <w:color w:val="auto"/>
              </w:rPr>
            </w:pPr>
          </w:p>
        </w:tc>
        <w:tc>
          <w:tcPr>
            <w:tcW w:w="1900" w:type="dxa"/>
            <w:vAlign w:val="bottom"/>
            <w:tcBorders>
              <w:bottom w:val="single" w:sz="8" w:color="071D49"/>
              <w:right w:val="single" w:sz="8" w:color="071D49"/>
            </w:tcBorders>
          </w:tcPr>
          <w:p>
            <w:pPr>
              <w:spacing w:after="0"/>
              <w:rPr>
                <w:sz w:val="11"/>
                <w:szCs w:val="11"/>
                <w:color w:val="auto"/>
              </w:rPr>
            </w:pPr>
          </w:p>
        </w:tc>
        <w:tc>
          <w:tcPr>
            <w:tcW w:w="360" w:type="dxa"/>
            <w:vAlign w:val="bottom"/>
            <w:tcBorders>
              <w:right w:val="single" w:sz="8" w:color="071D49"/>
            </w:tcBorders>
          </w:tcPr>
          <w:p>
            <w:pPr>
              <w:spacing w:after="0"/>
              <w:rPr>
                <w:sz w:val="11"/>
                <w:szCs w:val="11"/>
                <w:color w:val="auto"/>
              </w:rPr>
            </w:pPr>
          </w:p>
        </w:tc>
        <w:tc>
          <w:tcPr>
            <w:tcW w:w="720" w:type="dxa"/>
            <w:vAlign w:val="bottom"/>
            <w:tcBorders>
              <w:bottom w:val="single" w:sz="8" w:color="071D49"/>
            </w:tcBorders>
          </w:tcPr>
          <w:p>
            <w:pPr>
              <w:spacing w:after="0"/>
              <w:rPr>
                <w:sz w:val="11"/>
                <w:szCs w:val="11"/>
                <w:color w:val="auto"/>
              </w:rPr>
            </w:pPr>
          </w:p>
        </w:tc>
        <w:tc>
          <w:tcPr>
            <w:tcW w:w="1180" w:type="dxa"/>
            <w:vAlign w:val="bottom"/>
            <w:tcBorders>
              <w:bottom w:val="single" w:sz="8" w:color="071D49"/>
              <w:right w:val="single" w:sz="8" w:color="071D49"/>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F2F2F2"/>
            </w:tcBorders>
          </w:tcPr>
          <w:p>
            <w:pPr>
              <w:spacing w:after="0"/>
              <w:rPr>
                <w:sz w:val="17"/>
                <w:szCs w:val="17"/>
                <w:color w:val="auto"/>
              </w:rPr>
            </w:pPr>
          </w:p>
        </w:tc>
        <w:tc>
          <w:tcPr>
            <w:tcW w:w="80" w:type="dxa"/>
            <w:vAlign w:val="bottom"/>
            <w:tcBorders>
              <w:bottom w:val="single" w:sz="8" w:color="F2F2F2"/>
            </w:tcBorders>
          </w:tcPr>
          <w:p>
            <w:pPr>
              <w:spacing w:after="0"/>
              <w:rPr>
                <w:sz w:val="17"/>
                <w:szCs w:val="17"/>
                <w:color w:val="auto"/>
              </w:rPr>
            </w:pPr>
          </w:p>
        </w:tc>
        <w:tc>
          <w:tcPr>
            <w:tcW w:w="280" w:type="dxa"/>
            <w:vAlign w:val="bottom"/>
            <w:tcBorders>
              <w:bottom w:val="single" w:sz="8" w:color="F2F2F2"/>
            </w:tcBorders>
          </w:tcPr>
          <w:p>
            <w:pPr>
              <w:spacing w:after="0"/>
              <w:rPr>
                <w:sz w:val="17"/>
                <w:szCs w:val="17"/>
                <w:color w:val="auto"/>
              </w:rPr>
            </w:pPr>
          </w:p>
        </w:tc>
        <w:tc>
          <w:tcPr>
            <w:tcW w:w="1340" w:type="dxa"/>
            <w:vAlign w:val="bottom"/>
            <w:tcBorders>
              <w:bottom w:val="single" w:sz="8" w:color="F2F2F2"/>
            </w:tcBorders>
          </w:tcPr>
          <w:p>
            <w:pPr>
              <w:spacing w:after="0"/>
              <w:rPr>
                <w:sz w:val="17"/>
                <w:szCs w:val="17"/>
                <w:color w:val="auto"/>
              </w:rPr>
            </w:pPr>
          </w:p>
        </w:tc>
        <w:tc>
          <w:tcPr>
            <w:tcW w:w="360" w:type="dxa"/>
            <w:vAlign w:val="bottom"/>
            <w:tcBorders>
              <w:bottom w:val="single" w:sz="8" w:color="F2F2F2"/>
            </w:tcBorders>
          </w:tcPr>
          <w:p>
            <w:pPr>
              <w:spacing w:after="0"/>
              <w:rPr>
                <w:sz w:val="17"/>
                <w:szCs w:val="17"/>
                <w:color w:val="auto"/>
              </w:rPr>
            </w:pPr>
          </w:p>
        </w:tc>
        <w:tc>
          <w:tcPr>
            <w:tcW w:w="1340" w:type="dxa"/>
            <w:vAlign w:val="bottom"/>
            <w:tcBorders>
              <w:bottom w:val="single" w:sz="8" w:color="071D49"/>
            </w:tcBorders>
          </w:tcPr>
          <w:p>
            <w:pPr>
              <w:spacing w:after="0"/>
              <w:rPr>
                <w:sz w:val="17"/>
                <w:szCs w:val="17"/>
                <w:color w:val="auto"/>
              </w:rPr>
            </w:pPr>
          </w:p>
        </w:tc>
        <w:tc>
          <w:tcPr>
            <w:tcW w:w="360" w:type="dxa"/>
            <w:vAlign w:val="bottom"/>
            <w:tcBorders>
              <w:bottom w:val="single" w:sz="8" w:color="F2F2F2"/>
            </w:tcBorders>
          </w:tcPr>
          <w:p>
            <w:pPr>
              <w:spacing w:after="0"/>
              <w:rPr>
                <w:sz w:val="17"/>
                <w:szCs w:val="17"/>
                <w:color w:val="auto"/>
              </w:rPr>
            </w:pPr>
          </w:p>
        </w:tc>
        <w:tc>
          <w:tcPr>
            <w:tcW w:w="1900" w:type="dxa"/>
            <w:vAlign w:val="bottom"/>
            <w:tcBorders>
              <w:bottom w:val="single" w:sz="8" w:color="071D49"/>
            </w:tcBorders>
          </w:tcPr>
          <w:p>
            <w:pPr>
              <w:spacing w:after="0"/>
              <w:rPr>
                <w:sz w:val="17"/>
                <w:szCs w:val="17"/>
                <w:color w:val="auto"/>
              </w:rPr>
            </w:pPr>
          </w:p>
        </w:tc>
        <w:tc>
          <w:tcPr>
            <w:tcW w:w="360" w:type="dxa"/>
            <w:vAlign w:val="bottom"/>
            <w:tcBorders>
              <w:bottom w:val="single" w:sz="8" w:color="071D49"/>
            </w:tcBorders>
          </w:tcPr>
          <w:p>
            <w:pPr>
              <w:spacing w:after="0"/>
              <w:rPr>
                <w:sz w:val="17"/>
                <w:szCs w:val="17"/>
                <w:color w:val="auto"/>
              </w:rPr>
            </w:pPr>
          </w:p>
        </w:tc>
        <w:tc>
          <w:tcPr>
            <w:tcW w:w="720" w:type="dxa"/>
            <w:vAlign w:val="bottom"/>
            <w:tcBorders>
              <w:bottom w:val="single" w:sz="8" w:color="071D49"/>
            </w:tcBorders>
          </w:tcPr>
          <w:p>
            <w:pPr>
              <w:spacing w:after="0"/>
              <w:rPr>
                <w:sz w:val="17"/>
                <w:szCs w:val="17"/>
                <w:color w:val="auto"/>
              </w:rPr>
            </w:pPr>
          </w:p>
        </w:tc>
        <w:tc>
          <w:tcPr>
            <w:tcW w:w="1180" w:type="dxa"/>
            <w:vAlign w:val="bottom"/>
            <w:tcBorders>
              <w:bottom w:val="single" w:sz="8" w:color="071D49"/>
            </w:tcBorders>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20" w:type="dxa"/>
            <w:vAlign w:val="bottom"/>
            <w:tcBorders>
              <w:left w:val="single" w:sz="8" w:color="F2F2F2"/>
            </w:tcBorders>
            <w:gridSpan w:val="2"/>
            <w:vMerge w:val="restart"/>
            <w:shd w:val="clear" w:color="auto" w:fill="F2F2F2"/>
          </w:tcPr>
          <w:p>
            <w:pPr>
              <w:ind w:left="140"/>
              <w:spacing w:after="0"/>
              <w:rPr>
                <w:sz w:val="20"/>
                <w:szCs w:val="20"/>
                <w:color w:val="auto"/>
              </w:rPr>
            </w:pPr>
            <w:r>
              <w:rPr>
                <w:rFonts w:ascii="Arial" w:cs="Arial" w:eastAsia="Arial" w:hAnsi="Arial"/>
                <w:sz w:val="14"/>
                <w:szCs w:val="14"/>
                <w:b w:val="1"/>
                <w:bCs w:val="1"/>
                <w:color w:val="auto"/>
              </w:rPr>
              <w:t>Plan Governance:</w:t>
            </w:r>
          </w:p>
        </w:tc>
        <w:tc>
          <w:tcPr>
            <w:tcW w:w="280" w:type="dxa"/>
            <w:vAlign w:val="bottom"/>
            <w:tcBorders>
              <w:right w:val="single" w:sz="8" w:color="F2F2F2"/>
            </w:tcBorders>
            <w:shd w:val="clear" w:color="auto" w:fill="F2F2F2"/>
          </w:tcPr>
          <w:p>
            <w:pPr>
              <w:spacing w:after="0"/>
              <w:rPr>
                <w:sz w:val="24"/>
                <w:szCs w:val="24"/>
                <w:color w:val="auto"/>
              </w:rPr>
            </w:pPr>
          </w:p>
        </w:tc>
        <w:tc>
          <w:tcPr>
            <w:tcW w:w="1340" w:type="dxa"/>
            <w:vAlign w:val="bottom"/>
            <w:tcBorders>
              <w:right w:val="single" w:sz="8" w:color="F2F2F2"/>
            </w:tcBorders>
            <w:shd w:val="clear" w:color="auto" w:fill="F2F2F2"/>
          </w:tcPr>
          <w:p>
            <w:pPr>
              <w:spacing w:after="0"/>
              <w:rPr>
                <w:sz w:val="24"/>
                <w:szCs w:val="24"/>
                <w:color w:val="auto"/>
              </w:rPr>
            </w:pPr>
          </w:p>
        </w:tc>
        <w:tc>
          <w:tcPr>
            <w:tcW w:w="360" w:type="dxa"/>
            <w:vAlign w:val="bottom"/>
            <w:tcBorders>
              <w:right w:val="single" w:sz="8" w:color="071D49"/>
            </w:tcBorders>
            <w:shd w:val="clear" w:color="auto" w:fill="F2F2F2"/>
          </w:tcPr>
          <w:p>
            <w:pPr>
              <w:spacing w:after="0"/>
              <w:rPr>
                <w:sz w:val="24"/>
                <w:szCs w:val="24"/>
                <w:color w:val="auto"/>
              </w:rPr>
            </w:pPr>
          </w:p>
        </w:tc>
        <w:tc>
          <w:tcPr>
            <w:tcW w:w="134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Maximum</w:t>
            </w:r>
          </w:p>
        </w:tc>
        <w:tc>
          <w:tcPr>
            <w:tcW w:w="360" w:type="dxa"/>
            <w:vAlign w:val="bottom"/>
            <w:tcBorders>
              <w:right w:val="single" w:sz="8" w:color="071D49"/>
            </w:tcBorders>
            <w:shd w:val="clear" w:color="auto" w:fill="F2F2F2"/>
          </w:tcPr>
          <w:p>
            <w:pPr>
              <w:spacing w:after="0"/>
              <w:rPr>
                <w:sz w:val="24"/>
                <w:szCs w:val="24"/>
                <w:color w:val="auto"/>
              </w:rPr>
            </w:pPr>
          </w:p>
        </w:tc>
        <w:tc>
          <w:tcPr>
            <w:tcW w:w="2980" w:type="dxa"/>
            <w:vAlign w:val="bottom"/>
            <w:gridSpan w:val="3"/>
            <w:shd w:val="clear" w:color="auto" w:fill="F2F2F2"/>
          </w:tcPr>
          <w:p>
            <w:pPr>
              <w:jc w:val="center"/>
              <w:ind w:left="1108"/>
              <w:spacing w:after="0"/>
              <w:rPr>
                <w:sz w:val="20"/>
                <w:szCs w:val="20"/>
                <w:color w:val="auto"/>
              </w:rPr>
            </w:pPr>
            <w:r>
              <w:rPr>
                <w:rFonts w:ascii="Arial" w:cs="Arial" w:eastAsia="Arial" w:hAnsi="Arial"/>
                <w:sz w:val="14"/>
                <w:szCs w:val="14"/>
                <w:b w:val="1"/>
                <w:bCs w:val="1"/>
                <w:color w:val="auto"/>
              </w:rPr>
              <w:t>2021 Performance results:</w:t>
            </w:r>
          </w:p>
        </w:tc>
        <w:tc>
          <w:tcPr>
            <w:tcW w:w="1180" w:type="dxa"/>
            <w:vAlign w:val="bottom"/>
            <w:tcBorders>
              <w:right w:val="single" w:sz="8" w:color="071D49"/>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20" w:type="dxa"/>
            <w:vAlign w:val="bottom"/>
            <w:tcBorders>
              <w:left w:val="single" w:sz="8" w:color="F2F2F2"/>
            </w:tcBorders>
            <w:gridSpan w:val="2"/>
            <w:vMerge w:val="continue"/>
            <w:shd w:val="clear" w:color="auto" w:fill="F2F2F2"/>
          </w:tcPr>
          <w:p>
            <w:pPr>
              <w:spacing w:after="0"/>
              <w:rPr>
                <w:sz w:val="14"/>
                <w:szCs w:val="14"/>
                <w:color w:val="auto"/>
              </w:rPr>
            </w:pPr>
          </w:p>
        </w:tc>
        <w:tc>
          <w:tcPr>
            <w:tcW w:w="280" w:type="dxa"/>
            <w:vAlign w:val="bottom"/>
            <w:tcBorders>
              <w:right w:val="single" w:sz="8" w:color="F2F2F2"/>
            </w:tcBorders>
            <w:shd w:val="clear" w:color="auto" w:fill="F2F2F2"/>
          </w:tcPr>
          <w:p>
            <w:pPr>
              <w:spacing w:after="0"/>
              <w:rPr>
                <w:sz w:val="14"/>
                <w:szCs w:val="14"/>
                <w:color w:val="auto"/>
              </w:rPr>
            </w:pPr>
          </w:p>
        </w:tc>
        <w:tc>
          <w:tcPr>
            <w:tcW w:w="1340" w:type="dxa"/>
            <w:vAlign w:val="bottom"/>
            <w:tcBorders>
              <w:right w:val="single" w:sz="8" w:color="F2F2F2"/>
            </w:tcBorders>
            <w:shd w:val="clear" w:color="auto" w:fill="F2F2F2"/>
          </w:tcPr>
          <w:p>
            <w:pPr>
              <w:spacing w:after="0"/>
              <w:rPr>
                <w:sz w:val="14"/>
                <w:szCs w:val="14"/>
                <w:color w:val="auto"/>
              </w:rPr>
            </w:pPr>
          </w:p>
        </w:tc>
        <w:tc>
          <w:tcPr>
            <w:tcW w:w="360" w:type="dxa"/>
            <w:vAlign w:val="bottom"/>
            <w:tcBorders>
              <w:right w:val="single" w:sz="8" w:color="071D49"/>
            </w:tcBorders>
            <w:shd w:val="clear" w:color="auto" w:fill="F2F2F2"/>
          </w:tcPr>
          <w:p>
            <w:pPr>
              <w:spacing w:after="0"/>
              <w:rPr>
                <w:sz w:val="14"/>
                <w:szCs w:val="14"/>
                <w:color w:val="auto"/>
              </w:rPr>
            </w:pPr>
          </w:p>
        </w:tc>
        <w:tc>
          <w:tcPr>
            <w:tcW w:w="134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100% of Target</w:t>
            </w:r>
          </w:p>
        </w:tc>
        <w:tc>
          <w:tcPr>
            <w:tcW w:w="360" w:type="dxa"/>
            <w:vAlign w:val="bottom"/>
            <w:tcBorders>
              <w:right w:val="single" w:sz="8" w:color="071D49"/>
            </w:tcBorders>
            <w:shd w:val="clear" w:color="auto" w:fill="F2F2F2"/>
          </w:tcPr>
          <w:p>
            <w:pPr>
              <w:spacing w:after="0"/>
              <w:rPr>
                <w:sz w:val="14"/>
                <w:szCs w:val="14"/>
                <w:color w:val="auto"/>
              </w:rPr>
            </w:pPr>
          </w:p>
        </w:tc>
        <w:tc>
          <w:tcPr>
            <w:tcW w:w="4160" w:type="dxa"/>
            <w:vAlign w:val="bottom"/>
            <w:tcBorders>
              <w:right w:val="single" w:sz="8" w:color="071D49"/>
            </w:tcBorders>
            <w:gridSpan w:val="4"/>
            <w:shd w:val="clear" w:color="auto" w:fill="F2F2F2"/>
          </w:tcPr>
          <w:p>
            <w:pPr>
              <w:jc w:val="center"/>
              <w:spacing w:after="0"/>
              <w:rPr>
                <w:sz w:val="20"/>
                <w:szCs w:val="20"/>
                <w:color w:val="auto"/>
              </w:rPr>
            </w:pPr>
            <w:r>
              <w:rPr>
                <w:rFonts w:ascii="Arial" w:cs="Arial" w:eastAsia="Arial" w:hAnsi="Arial"/>
                <w:sz w:val="14"/>
                <w:szCs w:val="14"/>
                <w:b w:val="1"/>
                <w:bCs w:val="1"/>
                <w:color w:val="auto"/>
              </w:rPr>
              <w:t>Capped at 175% of Target per payout matrix</w:t>
            </w:r>
          </w:p>
        </w:tc>
        <w:tc>
          <w:tcPr>
            <w:tcW w:w="0" w:type="dxa"/>
            <w:vAlign w:val="bottom"/>
          </w:tcPr>
          <w:p>
            <w:pPr>
              <w:spacing w:after="0"/>
              <w:rPr>
                <w:sz w:val="1"/>
                <w:szCs w:val="1"/>
                <w:color w:val="auto"/>
              </w:rPr>
            </w:pPr>
          </w:p>
        </w:tc>
      </w:tr>
      <w:tr>
        <w:trPr>
          <w:trHeight w:val="190"/>
        </w:trPr>
        <w:tc>
          <w:tcPr>
            <w:tcW w:w="1340" w:type="dxa"/>
            <w:vAlign w:val="bottom"/>
            <w:tcBorders>
              <w:left w:val="single" w:sz="8" w:color="F2F2F2"/>
              <w:right w:val="single" w:sz="8" w:color="F2F2F2"/>
            </w:tcBorders>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80" w:type="dxa"/>
            <w:vAlign w:val="bottom"/>
            <w:tcBorders>
              <w:right w:val="single" w:sz="8" w:color="F2F2F2"/>
            </w:tcBorders>
            <w:shd w:val="clear" w:color="auto" w:fill="F2F2F2"/>
          </w:tcPr>
          <w:p>
            <w:pPr>
              <w:spacing w:after="0"/>
              <w:rPr>
                <w:sz w:val="16"/>
                <w:szCs w:val="16"/>
                <w:color w:val="auto"/>
              </w:rPr>
            </w:pPr>
          </w:p>
        </w:tc>
        <w:tc>
          <w:tcPr>
            <w:tcW w:w="1340" w:type="dxa"/>
            <w:vAlign w:val="bottom"/>
            <w:tcBorders>
              <w:right w:val="single" w:sz="8" w:color="F2F2F2"/>
            </w:tcBorders>
            <w:shd w:val="clear" w:color="auto" w:fill="F2F2F2"/>
          </w:tcPr>
          <w:p>
            <w:pPr>
              <w:spacing w:after="0"/>
              <w:rPr>
                <w:sz w:val="16"/>
                <w:szCs w:val="16"/>
                <w:color w:val="auto"/>
              </w:rPr>
            </w:pPr>
          </w:p>
        </w:tc>
        <w:tc>
          <w:tcPr>
            <w:tcW w:w="360" w:type="dxa"/>
            <w:vAlign w:val="bottom"/>
            <w:tcBorders>
              <w:right w:val="single" w:sz="8" w:color="071D49"/>
            </w:tcBorders>
            <w:shd w:val="clear" w:color="auto" w:fill="F2F2F2"/>
          </w:tcPr>
          <w:p>
            <w:pPr>
              <w:spacing w:after="0"/>
              <w:rPr>
                <w:sz w:val="16"/>
                <w:szCs w:val="16"/>
                <w:color w:val="auto"/>
              </w:rPr>
            </w:pPr>
          </w:p>
        </w:tc>
        <w:tc>
          <w:tcPr>
            <w:tcW w:w="134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14"/>
                <w:szCs w:val="14"/>
                <w:b w:val="1"/>
                <w:bCs w:val="1"/>
                <w:color w:val="auto"/>
              </w:rPr>
              <w:t>per plan design</w:t>
            </w:r>
          </w:p>
        </w:tc>
        <w:tc>
          <w:tcPr>
            <w:tcW w:w="360" w:type="dxa"/>
            <w:vAlign w:val="bottom"/>
            <w:tcBorders>
              <w:right w:val="single" w:sz="8" w:color="071D49"/>
            </w:tcBorders>
            <w:shd w:val="clear" w:color="auto" w:fill="F2F2F2"/>
          </w:tcPr>
          <w:p>
            <w:pPr>
              <w:spacing w:after="0"/>
              <w:rPr>
                <w:sz w:val="16"/>
                <w:szCs w:val="16"/>
                <w:color w:val="auto"/>
              </w:rPr>
            </w:pPr>
          </w:p>
        </w:tc>
        <w:tc>
          <w:tcPr>
            <w:tcW w:w="4160" w:type="dxa"/>
            <w:vAlign w:val="bottom"/>
            <w:tcBorders>
              <w:right w:val="single" w:sz="8" w:color="071D49"/>
            </w:tcBorders>
            <w:gridSpan w:val="4"/>
            <w:shd w:val="clear" w:color="auto" w:fill="F2F2F2"/>
          </w:tcPr>
          <w:p>
            <w:pPr>
              <w:jc w:val="center"/>
              <w:spacing w:after="0"/>
              <w:rPr>
                <w:sz w:val="20"/>
                <w:szCs w:val="20"/>
                <w:color w:val="auto"/>
              </w:rPr>
            </w:pPr>
            <w:r>
              <w:rPr>
                <w:rFonts w:ascii="Arial" w:cs="Arial" w:eastAsia="Arial" w:hAnsi="Arial"/>
                <w:sz w:val="14"/>
                <w:szCs w:val="14"/>
                <w:b w:val="1"/>
                <w:bCs w:val="1"/>
                <w:color w:val="auto"/>
              </w:rPr>
              <w:t>(below 200% plan maximum)</w:t>
            </w:r>
          </w:p>
        </w:tc>
        <w:tc>
          <w:tcPr>
            <w:tcW w:w="0" w:type="dxa"/>
            <w:vAlign w:val="bottom"/>
          </w:tcPr>
          <w:p>
            <w:pPr>
              <w:spacing w:after="0"/>
              <w:rPr>
                <w:sz w:val="1"/>
                <w:szCs w:val="1"/>
                <w:color w:val="auto"/>
              </w:rPr>
            </w:pPr>
          </w:p>
        </w:tc>
      </w:tr>
      <w:tr>
        <w:trPr>
          <w:trHeight w:val="147"/>
        </w:trPr>
        <w:tc>
          <w:tcPr>
            <w:tcW w:w="1340" w:type="dxa"/>
            <w:vAlign w:val="bottom"/>
            <w:tcBorders>
              <w:left w:val="single" w:sz="8" w:color="F2F2F2"/>
              <w:right w:val="single" w:sz="8" w:color="F2F2F2"/>
            </w:tcBorders>
            <w:shd w:val="clear" w:color="auto" w:fill="F2F2F2"/>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280" w:type="dxa"/>
            <w:vAlign w:val="bottom"/>
            <w:tcBorders>
              <w:right w:val="single" w:sz="8" w:color="F2F2F2"/>
            </w:tcBorders>
            <w:shd w:val="clear" w:color="auto" w:fill="F2F2F2"/>
          </w:tcPr>
          <w:p>
            <w:pPr>
              <w:spacing w:after="0"/>
              <w:rPr>
                <w:sz w:val="12"/>
                <w:szCs w:val="12"/>
                <w:color w:val="auto"/>
              </w:rPr>
            </w:pPr>
          </w:p>
        </w:tc>
        <w:tc>
          <w:tcPr>
            <w:tcW w:w="1340" w:type="dxa"/>
            <w:vAlign w:val="bottom"/>
            <w:tcBorders>
              <w:right w:val="single" w:sz="8" w:color="F2F2F2"/>
            </w:tcBorders>
            <w:shd w:val="clear" w:color="auto" w:fill="F2F2F2"/>
          </w:tcPr>
          <w:p>
            <w:pPr>
              <w:spacing w:after="0"/>
              <w:rPr>
                <w:sz w:val="12"/>
                <w:szCs w:val="12"/>
                <w:color w:val="auto"/>
              </w:rPr>
            </w:pPr>
          </w:p>
        </w:tc>
        <w:tc>
          <w:tcPr>
            <w:tcW w:w="360" w:type="dxa"/>
            <w:vAlign w:val="bottom"/>
            <w:tcBorders>
              <w:right w:val="single" w:sz="8" w:color="071D49"/>
            </w:tcBorders>
            <w:shd w:val="clear" w:color="auto" w:fill="F2F2F2"/>
          </w:tcPr>
          <w:p>
            <w:pPr>
              <w:spacing w:after="0"/>
              <w:rPr>
                <w:sz w:val="12"/>
                <w:szCs w:val="12"/>
                <w:color w:val="auto"/>
              </w:rPr>
            </w:pPr>
          </w:p>
        </w:tc>
        <w:tc>
          <w:tcPr>
            <w:tcW w:w="1340" w:type="dxa"/>
            <w:vAlign w:val="bottom"/>
            <w:tcBorders>
              <w:bottom w:val="single" w:sz="8" w:color="071D49"/>
              <w:right w:val="single" w:sz="8" w:color="071D49"/>
            </w:tcBorders>
            <w:shd w:val="clear" w:color="auto" w:fill="F2F2F2"/>
          </w:tcPr>
          <w:p>
            <w:pPr>
              <w:spacing w:after="0"/>
              <w:rPr>
                <w:sz w:val="12"/>
                <w:szCs w:val="12"/>
                <w:color w:val="auto"/>
              </w:rPr>
            </w:pPr>
          </w:p>
        </w:tc>
        <w:tc>
          <w:tcPr>
            <w:tcW w:w="360" w:type="dxa"/>
            <w:vAlign w:val="bottom"/>
            <w:tcBorders>
              <w:right w:val="single" w:sz="8" w:color="071D49"/>
            </w:tcBorders>
            <w:shd w:val="clear" w:color="auto" w:fill="F2F2F2"/>
          </w:tcPr>
          <w:p>
            <w:pPr>
              <w:spacing w:after="0"/>
              <w:rPr>
                <w:sz w:val="12"/>
                <w:szCs w:val="12"/>
                <w:color w:val="auto"/>
              </w:rPr>
            </w:pPr>
          </w:p>
        </w:tc>
        <w:tc>
          <w:tcPr>
            <w:tcW w:w="1900" w:type="dxa"/>
            <w:vAlign w:val="bottom"/>
            <w:tcBorders>
              <w:bottom w:val="single" w:sz="8" w:color="071D49"/>
              <w:right w:val="single" w:sz="8" w:color="F2F2F2"/>
            </w:tcBorders>
            <w:shd w:val="clear" w:color="auto" w:fill="F2F2F2"/>
          </w:tcPr>
          <w:p>
            <w:pPr>
              <w:spacing w:after="0"/>
              <w:rPr>
                <w:sz w:val="12"/>
                <w:szCs w:val="12"/>
                <w:color w:val="auto"/>
              </w:rPr>
            </w:pPr>
          </w:p>
        </w:tc>
        <w:tc>
          <w:tcPr>
            <w:tcW w:w="360" w:type="dxa"/>
            <w:vAlign w:val="bottom"/>
            <w:tcBorders>
              <w:bottom w:val="single" w:sz="8" w:color="071D49"/>
              <w:right w:val="single" w:sz="8" w:color="F2F2F2"/>
            </w:tcBorders>
            <w:shd w:val="clear" w:color="auto" w:fill="F2F2F2"/>
          </w:tcPr>
          <w:p>
            <w:pPr>
              <w:spacing w:after="0"/>
              <w:rPr>
                <w:sz w:val="12"/>
                <w:szCs w:val="12"/>
                <w:color w:val="auto"/>
              </w:rPr>
            </w:pPr>
          </w:p>
        </w:tc>
        <w:tc>
          <w:tcPr>
            <w:tcW w:w="720" w:type="dxa"/>
            <w:vAlign w:val="bottom"/>
            <w:tcBorders>
              <w:bottom w:val="single" w:sz="8" w:color="071D49"/>
            </w:tcBorders>
            <w:shd w:val="clear" w:color="auto" w:fill="F2F2F2"/>
          </w:tcPr>
          <w:p>
            <w:pPr>
              <w:spacing w:after="0"/>
              <w:rPr>
                <w:sz w:val="12"/>
                <w:szCs w:val="12"/>
                <w:color w:val="auto"/>
              </w:rPr>
            </w:pPr>
          </w:p>
        </w:tc>
        <w:tc>
          <w:tcPr>
            <w:tcW w:w="1180" w:type="dxa"/>
            <w:vAlign w:val="bottom"/>
            <w:tcBorders>
              <w:bottom w:val="single" w:sz="8" w:color="071D49"/>
              <w:right w:val="single" w:sz="8" w:color="071D49"/>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71D49"/>
        </w:rPr>
        <w:t>Initial Performance Score</w:t>
      </w:r>
    </w:p>
    <w:p>
      <w:pPr>
        <w:spacing w:after="0" w:line="22" w:lineRule="exact"/>
        <w:rPr>
          <w:sz w:val="20"/>
          <w:szCs w:val="20"/>
          <w:color w:val="auto"/>
        </w:rPr>
      </w:pPr>
    </w:p>
    <w:p>
      <w:pPr>
        <w:ind w:left="20" w:right="320"/>
        <w:spacing w:after="0" w:line="238" w:lineRule="auto"/>
        <w:rPr>
          <w:sz w:val="20"/>
          <w:szCs w:val="20"/>
          <w:color w:val="auto"/>
        </w:rPr>
      </w:pPr>
      <w:r>
        <w:rPr>
          <w:rFonts w:ascii="Arial" w:cs="Arial" w:eastAsia="Arial" w:hAnsi="Arial"/>
          <w:sz w:val="18"/>
          <w:szCs w:val="18"/>
          <w:color w:val="auto"/>
        </w:rPr>
        <w:t>Initial performance scores are calculated for each NEO based on performance against weighted financial and strategic/leadership goals. The goals and their respective weightings are summarized in the chart below. The specific goals and weightings for each NEO (including the CEO) are established at the start of each performance year based on the NEO’s role and anticipated contributions to the company’s annual objectives.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071D49"/>
              </w:rPr>
              <w:t>Net Revenues,</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071D49"/>
              </w:rPr>
              <w:t>Income</w:t>
            </w:r>
          </w:p>
        </w:tc>
        <w:tc>
          <w:tcPr>
            <w:tcW w:w="1560" w:type="dxa"/>
            <w:vAlign w:val="bottom"/>
          </w:tcPr>
          <w:p>
            <w:pPr>
              <w:jc w:val="right"/>
              <w:ind w:right="188"/>
              <w:spacing w:after="0"/>
              <w:rPr>
                <w:sz w:val="20"/>
                <w:szCs w:val="20"/>
                <w:color w:val="auto"/>
              </w:rPr>
            </w:pPr>
            <w:r>
              <w:rPr>
                <w:rFonts w:ascii="Arial" w:cs="Arial" w:eastAsia="Arial" w:hAnsi="Arial"/>
                <w:sz w:val="14"/>
                <w:szCs w:val="14"/>
                <w:b w:val="1"/>
                <w:bCs w:val="1"/>
                <w:color w:val="071D49"/>
              </w:rPr>
              <w:t>Operating Margin,</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071D49"/>
              </w:rPr>
              <w:t>Before</w:t>
            </w:r>
          </w:p>
        </w:tc>
        <w:tc>
          <w:tcPr>
            <w:tcW w:w="1560" w:type="dxa"/>
            <w:vAlign w:val="bottom"/>
          </w:tcPr>
          <w:p>
            <w:pPr>
              <w:jc w:val="right"/>
              <w:ind w:right="188"/>
              <w:spacing w:after="0"/>
              <w:rPr>
                <w:sz w:val="20"/>
                <w:szCs w:val="20"/>
                <w:color w:val="auto"/>
              </w:rPr>
            </w:pPr>
            <w:r>
              <w:rPr>
                <w:rFonts w:ascii="Arial" w:cs="Arial" w:eastAsia="Arial" w:hAnsi="Arial"/>
                <w:sz w:val="14"/>
                <w:szCs w:val="14"/>
                <w:b w:val="1"/>
                <w:bCs w:val="1"/>
                <w:color w:val="071D49"/>
              </w:rPr>
              <w:t>and Return on</w:t>
            </w:r>
          </w:p>
        </w:tc>
        <w:tc>
          <w:tcPr>
            <w:tcW w:w="1080" w:type="dxa"/>
            <w:vAlign w:val="bottom"/>
          </w:tcPr>
          <w:p>
            <w:pPr>
              <w:jc w:val="right"/>
              <w:ind w:right="188"/>
              <w:spacing w:after="0"/>
              <w:rPr>
                <w:sz w:val="20"/>
                <w:szCs w:val="20"/>
                <w:color w:val="auto"/>
              </w:rPr>
            </w:pPr>
            <w:r>
              <w:rPr>
                <w:rFonts w:ascii="Arial" w:cs="Arial" w:eastAsia="Arial" w:hAnsi="Arial"/>
                <w:sz w:val="14"/>
                <w:szCs w:val="14"/>
                <w:b w:val="1"/>
                <w:bCs w:val="1"/>
                <w:color w:val="071D49"/>
              </w:rPr>
              <w:t>R&amp;D/</w:t>
            </w:r>
          </w:p>
        </w:tc>
        <w:tc>
          <w:tcPr>
            <w:tcW w:w="1300" w:type="dxa"/>
            <w:vAlign w:val="bottom"/>
          </w:tcPr>
          <w:p>
            <w:pPr>
              <w:jc w:val="right"/>
              <w:ind w:right="228"/>
              <w:spacing w:after="0"/>
              <w:rPr>
                <w:sz w:val="20"/>
                <w:szCs w:val="20"/>
                <w:color w:val="auto"/>
              </w:rPr>
            </w:pPr>
            <w:r>
              <w:rPr>
                <w:rFonts w:ascii="Arial" w:cs="Arial" w:eastAsia="Arial" w:hAnsi="Arial"/>
                <w:sz w:val="14"/>
                <w:szCs w:val="14"/>
                <w:b w:val="1"/>
                <w:bCs w:val="1"/>
                <w:color w:val="071D49"/>
              </w:rPr>
              <w:t>Business</w:t>
            </w:r>
          </w:p>
        </w:tc>
        <w:tc>
          <w:tcPr>
            <w:tcW w:w="72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071D49"/>
              </w:rPr>
              <w:t>Allergan</w:t>
            </w:r>
          </w:p>
        </w:tc>
        <w:tc>
          <w:tcPr>
            <w:tcW w:w="660" w:type="dxa"/>
            <w:vAlign w:val="bottom"/>
          </w:tcPr>
          <w:p>
            <w:pPr>
              <w:spacing w:after="0"/>
              <w:rPr>
                <w:sz w:val="14"/>
                <w:szCs w:val="14"/>
                <w:color w:val="auto"/>
              </w:rPr>
            </w:pPr>
          </w:p>
        </w:tc>
      </w:tr>
      <w:tr>
        <w:trPr>
          <w:trHeight w:val="175"/>
        </w:trPr>
        <w:tc>
          <w:tcPr>
            <w:tcW w:w="1820" w:type="dxa"/>
            <w:vAlign w:val="bottom"/>
            <w:tcBorders>
              <w:bottom w:val="single" w:sz="8" w:color="071D49"/>
            </w:tcBorders>
          </w:tcPr>
          <w:p>
            <w:pPr>
              <w:spacing w:after="0"/>
              <w:rPr>
                <w:sz w:val="15"/>
                <w:szCs w:val="15"/>
                <w:color w:val="auto"/>
              </w:rPr>
            </w:pPr>
          </w:p>
        </w:tc>
        <w:tc>
          <w:tcPr>
            <w:tcW w:w="1040" w:type="dxa"/>
            <w:vAlign w:val="bottom"/>
            <w:tcBorders>
              <w:bottom w:val="single" w:sz="8" w:color="071D49"/>
            </w:tcBorders>
          </w:tcPr>
          <w:p>
            <w:pPr>
              <w:jc w:val="right"/>
              <w:ind w:right="168"/>
              <w:spacing w:after="0"/>
              <w:rPr>
                <w:sz w:val="20"/>
                <w:szCs w:val="20"/>
                <w:color w:val="auto"/>
              </w:rPr>
            </w:pPr>
            <w:r>
              <w:rPr>
                <w:rFonts w:ascii="Arial" w:cs="Arial" w:eastAsia="Arial" w:hAnsi="Arial"/>
                <w:sz w:val="14"/>
                <w:szCs w:val="14"/>
                <w:b w:val="1"/>
                <w:bCs w:val="1"/>
                <w:color w:val="071D49"/>
              </w:rPr>
              <w:t>Taxes</w:t>
            </w:r>
          </w:p>
        </w:tc>
        <w:tc>
          <w:tcPr>
            <w:tcW w:w="1560" w:type="dxa"/>
            <w:vAlign w:val="bottom"/>
            <w:tcBorders>
              <w:bottom w:val="single" w:sz="8" w:color="071D49"/>
            </w:tcBorders>
          </w:tcPr>
          <w:p>
            <w:pPr>
              <w:jc w:val="right"/>
              <w:ind w:right="188"/>
              <w:spacing w:after="0"/>
              <w:rPr>
                <w:sz w:val="20"/>
                <w:szCs w:val="20"/>
                <w:color w:val="auto"/>
              </w:rPr>
            </w:pPr>
            <w:r>
              <w:rPr>
                <w:rFonts w:ascii="Arial" w:cs="Arial" w:eastAsia="Arial" w:hAnsi="Arial"/>
                <w:sz w:val="14"/>
                <w:szCs w:val="14"/>
                <w:b w:val="1"/>
                <w:bCs w:val="1"/>
                <w:color w:val="071D49"/>
              </w:rPr>
              <w:t>Assets</w:t>
            </w:r>
          </w:p>
        </w:tc>
        <w:tc>
          <w:tcPr>
            <w:tcW w:w="1080" w:type="dxa"/>
            <w:vAlign w:val="bottom"/>
            <w:tcBorders>
              <w:bottom w:val="single" w:sz="8" w:color="071D49"/>
            </w:tcBorders>
          </w:tcPr>
          <w:p>
            <w:pPr>
              <w:jc w:val="right"/>
              <w:ind w:right="188"/>
              <w:spacing w:after="0"/>
              <w:rPr>
                <w:sz w:val="20"/>
                <w:szCs w:val="20"/>
                <w:color w:val="auto"/>
              </w:rPr>
            </w:pPr>
            <w:r>
              <w:rPr>
                <w:rFonts w:ascii="Arial" w:cs="Arial" w:eastAsia="Arial" w:hAnsi="Arial"/>
                <w:sz w:val="14"/>
                <w:szCs w:val="14"/>
                <w:b w:val="1"/>
                <w:bCs w:val="1"/>
                <w:color w:val="071D49"/>
              </w:rPr>
              <w:t>Innovation</w:t>
            </w:r>
          </w:p>
        </w:tc>
        <w:tc>
          <w:tcPr>
            <w:tcW w:w="1300" w:type="dxa"/>
            <w:vAlign w:val="bottom"/>
            <w:tcBorders>
              <w:bottom w:val="single" w:sz="8" w:color="071D49"/>
            </w:tcBorders>
          </w:tcPr>
          <w:p>
            <w:pPr>
              <w:jc w:val="right"/>
              <w:ind w:right="228"/>
              <w:spacing w:after="0"/>
              <w:rPr>
                <w:sz w:val="20"/>
                <w:szCs w:val="20"/>
                <w:color w:val="auto"/>
              </w:rPr>
            </w:pPr>
            <w:r>
              <w:rPr>
                <w:rFonts w:ascii="Arial" w:cs="Arial" w:eastAsia="Arial" w:hAnsi="Arial"/>
                <w:sz w:val="14"/>
                <w:szCs w:val="14"/>
                <w:b w:val="1"/>
                <w:bCs w:val="1"/>
                <w:color w:val="071D49"/>
              </w:rPr>
              <w:t>Development</w:t>
            </w:r>
          </w:p>
        </w:tc>
        <w:tc>
          <w:tcPr>
            <w:tcW w:w="720" w:type="dxa"/>
            <w:vAlign w:val="bottom"/>
            <w:tcBorders>
              <w:bottom w:val="single" w:sz="8" w:color="071D49"/>
            </w:tcBorders>
          </w:tcPr>
          <w:p>
            <w:pPr>
              <w:jc w:val="right"/>
              <w:ind w:right="208"/>
              <w:spacing w:after="0"/>
              <w:rPr>
                <w:sz w:val="20"/>
                <w:szCs w:val="20"/>
                <w:color w:val="auto"/>
              </w:rPr>
            </w:pPr>
            <w:r>
              <w:rPr>
                <w:rFonts w:ascii="Arial" w:cs="Arial" w:eastAsia="Arial" w:hAnsi="Arial"/>
                <w:sz w:val="14"/>
                <w:szCs w:val="14"/>
                <w:b w:val="1"/>
                <w:bCs w:val="1"/>
                <w:color w:val="071D49"/>
              </w:rPr>
              <w:t>ESG</w:t>
            </w:r>
          </w:p>
        </w:tc>
        <w:tc>
          <w:tcPr>
            <w:tcW w:w="1100" w:type="dxa"/>
            <w:vAlign w:val="bottom"/>
            <w:tcBorders>
              <w:bottom w:val="single" w:sz="8" w:color="071D49"/>
            </w:tcBorders>
          </w:tcPr>
          <w:p>
            <w:pPr>
              <w:jc w:val="right"/>
              <w:ind w:right="188"/>
              <w:spacing w:after="0"/>
              <w:rPr>
                <w:sz w:val="20"/>
                <w:szCs w:val="20"/>
                <w:color w:val="auto"/>
              </w:rPr>
            </w:pPr>
            <w:r>
              <w:rPr>
                <w:rFonts w:ascii="Arial" w:cs="Arial" w:eastAsia="Arial" w:hAnsi="Arial"/>
                <w:sz w:val="14"/>
                <w:szCs w:val="14"/>
                <w:b w:val="1"/>
                <w:bCs w:val="1"/>
                <w:color w:val="071D49"/>
              </w:rPr>
              <w:t>Integration</w:t>
            </w:r>
          </w:p>
        </w:tc>
        <w:tc>
          <w:tcPr>
            <w:tcW w:w="660" w:type="dxa"/>
            <w:vAlign w:val="bottom"/>
            <w:tcBorders>
              <w:bottom w:val="single" w:sz="8" w:color="071D49"/>
            </w:tcBorders>
          </w:tcPr>
          <w:p>
            <w:pPr>
              <w:jc w:val="right"/>
              <w:ind w:right="128"/>
              <w:spacing w:after="0"/>
              <w:rPr>
                <w:sz w:val="20"/>
                <w:szCs w:val="20"/>
                <w:color w:val="auto"/>
              </w:rPr>
            </w:pPr>
            <w:r>
              <w:rPr>
                <w:rFonts w:ascii="Arial" w:cs="Arial" w:eastAsia="Arial" w:hAnsi="Arial"/>
                <w:sz w:val="14"/>
                <w:szCs w:val="14"/>
                <w:b w:val="1"/>
                <w:bCs w:val="1"/>
                <w:color w:val="071D49"/>
              </w:rPr>
              <w:t>Other</w:t>
            </w:r>
          </w:p>
        </w:tc>
      </w:tr>
      <w:tr>
        <w:trPr>
          <w:trHeight w:val="183"/>
        </w:trPr>
        <w:tc>
          <w:tcPr>
            <w:tcW w:w="1820" w:type="dxa"/>
            <w:vAlign w:val="bottom"/>
            <w:shd w:val="clear" w:color="auto" w:fill="D9D9D9"/>
          </w:tcPr>
          <w:p>
            <w:pPr>
              <w:spacing w:after="0" w:line="183" w:lineRule="exact"/>
              <w:rPr>
                <w:sz w:val="20"/>
                <w:szCs w:val="20"/>
                <w:color w:val="auto"/>
              </w:rPr>
            </w:pPr>
            <w:r>
              <w:rPr>
                <w:rFonts w:ascii="Arial" w:cs="Arial" w:eastAsia="Arial" w:hAnsi="Arial"/>
                <w:sz w:val="16"/>
                <w:szCs w:val="16"/>
                <w:color w:val="auto"/>
              </w:rPr>
              <w:t>Richard A. Gonzalez</w:t>
            </w:r>
          </w:p>
        </w:tc>
        <w:tc>
          <w:tcPr>
            <w:tcW w:w="10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20 %</w:t>
            </w:r>
          </w:p>
        </w:tc>
        <w:tc>
          <w:tcPr>
            <w:tcW w:w="15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50 %</w:t>
            </w:r>
          </w:p>
        </w:tc>
        <w:tc>
          <w:tcPr>
            <w:tcW w:w="10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10 %</w:t>
            </w:r>
          </w:p>
        </w:tc>
        <w:tc>
          <w:tcPr>
            <w:tcW w:w="1300" w:type="dxa"/>
            <w:vAlign w:val="bottom"/>
            <w:shd w:val="clear" w:color="auto" w:fill="D9D9D9"/>
          </w:tcPr>
          <w:p>
            <w:pPr>
              <w:spacing w:after="0"/>
              <w:rPr>
                <w:sz w:val="15"/>
                <w:szCs w:val="15"/>
                <w:color w:val="auto"/>
              </w:rPr>
            </w:pPr>
          </w:p>
        </w:tc>
        <w:tc>
          <w:tcPr>
            <w:tcW w:w="7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10 %</w:t>
            </w:r>
          </w:p>
        </w:tc>
        <w:tc>
          <w:tcPr>
            <w:tcW w:w="11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10 %</w:t>
            </w:r>
          </w:p>
        </w:tc>
        <w:tc>
          <w:tcPr>
            <w:tcW w:w="660" w:type="dxa"/>
            <w:vAlign w:val="bottom"/>
            <w:shd w:val="clear" w:color="auto" w:fill="D9D9D9"/>
          </w:tcPr>
          <w:p>
            <w:pPr>
              <w:spacing w:after="0"/>
              <w:rPr>
                <w:sz w:val="15"/>
                <w:szCs w:val="15"/>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6"/>
                <w:szCs w:val="16"/>
                <w:color w:val="auto"/>
              </w:rPr>
              <w:t>Robert A. Michael</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20 %</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60 %</w:t>
            </w:r>
          </w:p>
        </w:tc>
        <w:tc>
          <w:tcPr>
            <w:tcW w:w="1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10 %</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10 %</w:t>
            </w:r>
          </w:p>
        </w:tc>
        <w:tc>
          <w:tcPr>
            <w:tcW w:w="660" w:type="dxa"/>
            <w:vAlign w:val="bottom"/>
          </w:tcPr>
          <w:p>
            <w:pPr>
              <w:spacing w:after="0"/>
              <w:rPr>
                <w:sz w:val="16"/>
                <w:szCs w:val="16"/>
                <w:color w:val="auto"/>
              </w:rPr>
            </w:pPr>
          </w:p>
        </w:tc>
      </w:tr>
      <w:tr>
        <w:trPr>
          <w:trHeight w:val="189"/>
        </w:trPr>
        <w:tc>
          <w:tcPr>
            <w:tcW w:w="1820" w:type="dxa"/>
            <w:vAlign w:val="bottom"/>
            <w:shd w:val="clear" w:color="auto" w:fill="D9D9D9"/>
          </w:tcPr>
          <w:p>
            <w:pPr>
              <w:spacing w:after="0"/>
              <w:rPr>
                <w:sz w:val="20"/>
                <w:szCs w:val="20"/>
                <w:color w:val="auto"/>
              </w:rPr>
            </w:pPr>
            <w:r>
              <w:rPr>
                <w:rFonts w:ascii="Arial" w:cs="Arial" w:eastAsia="Arial" w:hAnsi="Arial"/>
                <w:sz w:val="16"/>
                <w:szCs w:val="16"/>
                <w:color w:val="auto"/>
              </w:rPr>
              <w:t>Laura J. Schumacher</w:t>
            </w:r>
          </w:p>
        </w:tc>
        <w:tc>
          <w:tcPr>
            <w:tcW w:w="104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20 %</w:t>
            </w:r>
          </w:p>
        </w:tc>
        <w:tc>
          <w:tcPr>
            <w:tcW w:w="15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20 %</w:t>
            </w:r>
          </w:p>
        </w:tc>
        <w:tc>
          <w:tcPr>
            <w:tcW w:w="108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10 %</w:t>
            </w:r>
          </w:p>
        </w:tc>
        <w:tc>
          <w:tcPr>
            <w:tcW w:w="13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10 %</w:t>
            </w:r>
          </w:p>
        </w:tc>
        <w:tc>
          <w:tcPr>
            <w:tcW w:w="7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10 %</w:t>
            </w:r>
          </w:p>
        </w:tc>
        <w:tc>
          <w:tcPr>
            <w:tcW w:w="11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10 %</w:t>
            </w:r>
          </w:p>
        </w:tc>
        <w:tc>
          <w:tcPr>
            <w:tcW w:w="6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20 %</w:t>
            </w:r>
          </w:p>
        </w:tc>
      </w:tr>
      <w:tr>
        <w:trPr>
          <w:trHeight w:val="189"/>
        </w:trPr>
        <w:tc>
          <w:tcPr>
            <w:tcW w:w="1820" w:type="dxa"/>
            <w:vAlign w:val="bottom"/>
          </w:tcPr>
          <w:p>
            <w:pPr>
              <w:spacing w:after="0"/>
              <w:rPr>
                <w:sz w:val="20"/>
                <w:szCs w:val="20"/>
                <w:color w:val="auto"/>
              </w:rPr>
            </w:pPr>
            <w:r>
              <w:rPr>
                <w:rFonts w:ascii="Arial" w:cs="Arial" w:eastAsia="Arial" w:hAnsi="Arial"/>
                <w:sz w:val="16"/>
                <w:szCs w:val="16"/>
                <w:color w:val="auto"/>
              </w:rPr>
              <w:t>Michael E. Severino</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20 %</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20 %</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30 %</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10 %</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10 %</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10 %</w:t>
            </w:r>
          </w:p>
        </w:tc>
        <w:tc>
          <w:tcPr>
            <w:tcW w:w="660" w:type="dxa"/>
            <w:vAlign w:val="bottom"/>
          </w:tcPr>
          <w:p>
            <w:pPr>
              <w:spacing w:after="0"/>
              <w:rPr>
                <w:sz w:val="16"/>
                <w:szCs w:val="16"/>
                <w:color w:val="auto"/>
              </w:rPr>
            </w:pPr>
          </w:p>
        </w:tc>
      </w:tr>
      <w:tr>
        <w:trPr>
          <w:trHeight w:val="189"/>
        </w:trPr>
        <w:tc>
          <w:tcPr>
            <w:tcW w:w="1820" w:type="dxa"/>
            <w:vAlign w:val="bottom"/>
            <w:tcBorders>
              <w:bottom w:val="single" w:sz="8" w:color="071D49"/>
            </w:tcBorders>
            <w:shd w:val="clear" w:color="auto" w:fill="D9D9D9"/>
          </w:tcPr>
          <w:p>
            <w:pPr>
              <w:spacing w:after="0"/>
              <w:rPr>
                <w:sz w:val="20"/>
                <w:szCs w:val="20"/>
                <w:color w:val="auto"/>
              </w:rPr>
            </w:pPr>
            <w:r>
              <w:rPr>
                <w:rFonts w:ascii="Arial" w:cs="Arial" w:eastAsia="Arial" w:hAnsi="Arial"/>
                <w:sz w:val="16"/>
                <w:szCs w:val="16"/>
                <w:color w:val="auto"/>
              </w:rPr>
              <w:t>Jeffrey R. Stewart</w:t>
            </w:r>
          </w:p>
        </w:tc>
        <w:tc>
          <w:tcPr>
            <w:tcW w:w="1040" w:type="dxa"/>
            <w:vAlign w:val="bottom"/>
            <w:tcBorders>
              <w:bottom w:val="single" w:sz="8" w:color="071D49"/>
            </w:tcBorders>
            <w:shd w:val="clear" w:color="auto" w:fill="D9D9D9"/>
          </w:tcPr>
          <w:p>
            <w:pPr>
              <w:jc w:val="right"/>
              <w:ind w:right="8"/>
              <w:spacing w:after="0"/>
              <w:rPr>
                <w:sz w:val="20"/>
                <w:szCs w:val="20"/>
                <w:color w:val="auto"/>
              </w:rPr>
            </w:pPr>
            <w:r>
              <w:rPr>
                <w:rFonts w:ascii="Arial" w:cs="Arial" w:eastAsia="Arial" w:hAnsi="Arial"/>
                <w:sz w:val="14"/>
                <w:szCs w:val="14"/>
                <w:color w:val="auto"/>
              </w:rPr>
              <w:t>20 %</w:t>
            </w:r>
          </w:p>
        </w:tc>
        <w:tc>
          <w:tcPr>
            <w:tcW w:w="1560" w:type="dxa"/>
            <w:vAlign w:val="bottom"/>
            <w:tcBorders>
              <w:bottom w:val="single" w:sz="8" w:color="071D49"/>
            </w:tcBorders>
            <w:shd w:val="clear" w:color="auto" w:fill="D9D9D9"/>
          </w:tcPr>
          <w:p>
            <w:pPr>
              <w:jc w:val="right"/>
              <w:ind w:right="28"/>
              <w:spacing w:after="0"/>
              <w:rPr>
                <w:sz w:val="20"/>
                <w:szCs w:val="20"/>
                <w:color w:val="auto"/>
              </w:rPr>
            </w:pPr>
            <w:r>
              <w:rPr>
                <w:rFonts w:ascii="Arial" w:cs="Arial" w:eastAsia="Arial" w:hAnsi="Arial"/>
                <w:sz w:val="14"/>
                <w:szCs w:val="14"/>
                <w:color w:val="auto"/>
              </w:rPr>
              <w:t>50 %</w:t>
            </w:r>
          </w:p>
        </w:tc>
        <w:tc>
          <w:tcPr>
            <w:tcW w:w="1080" w:type="dxa"/>
            <w:vAlign w:val="bottom"/>
            <w:tcBorders>
              <w:bottom w:val="single" w:sz="8" w:color="071D49"/>
            </w:tcBorders>
            <w:shd w:val="clear" w:color="auto" w:fill="D9D9D9"/>
          </w:tcPr>
          <w:p>
            <w:pPr>
              <w:spacing w:after="0"/>
              <w:rPr>
                <w:sz w:val="16"/>
                <w:szCs w:val="16"/>
                <w:color w:val="auto"/>
              </w:rPr>
            </w:pPr>
          </w:p>
        </w:tc>
        <w:tc>
          <w:tcPr>
            <w:tcW w:w="1300" w:type="dxa"/>
            <w:vAlign w:val="bottom"/>
            <w:tcBorders>
              <w:bottom w:val="single" w:sz="8" w:color="071D49"/>
            </w:tcBorders>
            <w:shd w:val="clear" w:color="auto" w:fill="D9D9D9"/>
          </w:tcPr>
          <w:p>
            <w:pPr>
              <w:spacing w:after="0"/>
              <w:rPr>
                <w:sz w:val="16"/>
                <w:szCs w:val="16"/>
                <w:color w:val="auto"/>
              </w:rPr>
            </w:pPr>
          </w:p>
        </w:tc>
        <w:tc>
          <w:tcPr>
            <w:tcW w:w="720" w:type="dxa"/>
            <w:vAlign w:val="bottom"/>
            <w:tcBorders>
              <w:bottom w:val="single" w:sz="8" w:color="071D49"/>
            </w:tcBorders>
            <w:shd w:val="clear" w:color="auto" w:fill="D9D9D9"/>
          </w:tcPr>
          <w:p>
            <w:pPr>
              <w:jc w:val="right"/>
              <w:ind w:right="48"/>
              <w:spacing w:after="0"/>
              <w:rPr>
                <w:sz w:val="20"/>
                <w:szCs w:val="20"/>
                <w:color w:val="auto"/>
              </w:rPr>
            </w:pPr>
            <w:r>
              <w:rPr>
                <w:rFonts w:ascii="Arial" w:cs="Arial" w:eastAsia="Arial" w:hAnsi="Arial"/>
                <w:sz w:val="14"/>
                <w:szCs w:val="14"/>
                <w:color w:val="auto"/>
              </w:rPr>
              <w:t>10 %</w:t>
            </w:r>
          </w:p>
        </w:tc>
        <w:tc>
          <w:tcPr>
            <w:tcW w:w="1100" w:type="dxa"/>
            <w:vAlign w:val="bottom"/>
            <w:tcBorders>
              <w:bottom w:val="single" w:sz="8" w:color="071D49"/>
            </w:tcBorders>
            <w:shd w:val="clear" w:color="auto" w:fill="D9D9D9"/>
          </w:tcPr>
          <w:p>
            <w:pPr>
              <w:jc w:val="right"/>
              <w:ind w:right="8"/>
              <w:spacing w:after="0"/>
              <w:rPr>
                <w:sz w:val="20"/>
                <w:szCs w:val="20"/>
                <w:color w:val="auto"/>
              </w:rPr>
            </w:pPr>
            <w:r>
              <w:rPr>
                <w:rFonts w:ascii="Arial" w:cs="Arial" w:eastAsia="Arial" w:hAnsi="Arial"/>
                <w:sz w:val="14"/>
                <w:szCs w:val="14"/>
                <w:color w:val="auto"/>
              </w:rPr>
              <w:t>10 %</w:t>
            </w:r>
          </w:p>
        </w:tc>
        <w:tc>
          <w:tcPr>
            <w:tcW w:w="660" w:type="dxa"/>
            <w:vAlign w:val="bottom"/>
            <w:tcBorders>
              <w:bottom w:val="single" w:sz="8" w:color="071D49"/>
            </w:tcBorders>
            <w:shd w:val="clear" w:color="auto" w:fill="D9D9D9"/>
          </w:tcPr>
          <w:p>
            <w:pPr>
              <w:jc w:val="right"/>
              <w:spacing w:after="0"/>
              <w:rPr>
                <w:sz w:val="20"/>
                <w:szCs w:val="20"/>
                <w:color w:val="auto"/>
              </w:rPr>
            </w:pPr>
            <w:r>
              <w:rPr>
                <w:rFonts w:ascii="Arial" w:cs="Arial" w:eastAsia="Arial" w:hAnsi="Arial"/>
                <w:sz w:val="14"/>
                <w:szCs w:val="14"/>
                <w:color w:val="auto"/>
              </w:rPr>
              <w:t>10 %</w:t>
            </w:r>
          </w:p>
        </w:tc>
      </w:tr>
    </w:tbl>
    <w:p>
      <w:pPr>
        <w:spacing w:after="0" w:line="215" w:lineRule="exact"/>
        <w:rPr>
          <w:sz w:val="20"/>
          <w:szCs w:val="20"/>
          <w:color w:val="auto"/>
        </w:rPr>
      </w:pPr>
    </w:p>
    <w:p>
      <w:pPr>
        <w:ind w:left="20" w:right="160"/>
        <w:spacing w:after="0" w:line="237" w:lineRule="auto"/>
        <w:rPr>
          <w:sz w:val="20"/>
          <w:szCs w:val="20"/>
          <w:color w:val="auto"/>
        </w:rPr>
      </w:pPr>
      <w:r>
        <w:rPr>
          <w:rFonts w:ascii="Arial" w:cs="Arial" w:eastAsia="Arial" w:hAnsi="Arial"/>
          <w:sz w:val="18"/>
          <w:szCs w:val="18"/>
          <w:color w:val="auto"/>
        </w:rPr>
        <w:t>Assessments of performance against financial results consider the effect of foreign exchange and other specified adjustments and/or unusual or unpredictable events, and the appropriateness of these adjustments is reviewed annually by the committee. In 2021, specified adjustments included intangible asset amortization, acquisition and integration-related costs, milestones and other research and development expenses, acquired in process research and development, change in fair value of contingent consideration, tax audit settlements, impacts related to tax law changes, and other items, as described in Appendix B.</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-539750</wp:posOffset>
            </wp:positionV>
            <wp:extent cx="874395"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300"/>
          </w:cols>
          <w:pgMar w:left="1300" w:top="530" w:right="1299" w:bottom="1440" w:gutter="0" w:footer="0" w:header="0"/>
        </w:sectPr>
      </w:pPr>
    </w:p>
    <w:bookmarkStart w:id="46" w:name="page47"/>
    <w:bookmarkEnd w:id="4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071D49"/>
        </w:rPr>
        <w:t>Annual Incentive Payout Matrix and Final Committee Decisions</w:t>
      </w:r>
    </w:p>
    <w:p>
      <w:pPr>
        <w:spacing w:after="0" w:line="130" w:lineRule="exact"/>
        <w:rPr>
          <w:sz w:val="20"/>
          <w:szCs w:val="20"/>
          <w:color w:val="auto"/>
        </w:rPr>
      </w:pPr>
    </w:p>
    <w:p>
      <w:pPr>
        <w:ind w:left="1" w:right="120"/>
        <w:spacing w:after="0" w:line="238" w:lineRule="auto"/>
        <w:rPr>
          <w:sz w:val="20"/>
          <w:szCs w:val="20"/>
          <w:color w:val="auto"/>
        </w:rPr>
      </w:pPr>
      <w:r>
        <w:rPr>
          <w:rFonts w:ascii="Arial" w:cs="Arial" w:eastAsia="Arial" w:hAnsi="Arial"/>
          <w:sz w:val="18"/>
          <w:szCs w:val="18"/>
          <w:color w:val="auto"/>
        </w:rPr>
        <w:t>The annual incentive payout matrix establishes a potential range of final incentive outcomes based on net revenues and income before taxes. For 2021, actual net revenue performance was 101% compared to target, while actual income before taxes was 102% compared to target. As a result of this performance, the annual incentive payout matrix capped the annual incentives at 175% of target, below the plan maximum of 200% of target.</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Arial" w:cs="Arial" w:eastAsia="Arial" w:hAnsi="Arial"/>
                <w:sz w:val="14"/>
                <w:szCs w:val="14"/>
                <w:b w:val="1"/>
                <w:bCs w:val="1"/>
                <w:color w:val="071D49"/>
              </w:rPr>
              <w:t>Annual Incentive</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jc w:val="right"/>
              <w:ind w:right="373"/>
              <w:spacing w:after="0"/>
              <w:rPr>
                <w:sz w:val="20"/>
                <w:szCs w:val="20"/>
                <w:color w:val="auto"/>
              </w:rPr>
            </w:pPr>
            <w:r>
              <w:rPr>
                <w:rFonts w:ascii="Arial" w:cs="Arial" w:eastAsia="Arial" w:hAnsi="Arial"/>
                <w:sz w:val="14"/>
                <w:szCs w:val="14"/>
                <w:b w:val="1"/>
                <w:bCs w:val="1"/>
                <w:color w:val="071D49"/>
              </w:rPr>
              <w:t>2021 Target vs.</w:t>
            </w:r>
          </w:p>
        </w:tc>
        <w:tc>
          <w:tcPr>
            <w:tcW w:w="144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71D49"/>
              </w:rPr>
              <w:t>2021 Actual vs.</w:t>
            </w:r>
          </w:p>
        </w:tc>
      </w:tr>
      <w:tr>
        <w:trPr>
          <w:trHeight w:val="177"/>
        </w:trPr>
        <w:tc>
          <w:tcPr>
            <w:tcW w:w="2340" w:type="dxa"/>
            <w:vAlign w:val="bottom"/>
          </w:tcPr>
          <w:p>
            <w:pPr>
              <w:spacing w:after="0" w:line="177" w:lineRule="exact"/>
              <w:rPr>
                <w:sz w:val="20"/>
                <w:szCs w:val="20"/>
                <w:color w:val="auto"/>
              </w:rPr>
            </w:pPr>
            <w:r>
              <w:rPr>
                <w:rFonts w:ascii="Arial" w:cs="Arial" w:eastAsia="Arial" w:hAnsi="Arial"/>
                <w:sz w:val="14"/>
                <w:szCs w:val="14"/>
                <w:b w:val="1"/>
                <w:bCs w:val="1"/>
                <w:color w:val="071D49"/>
              </w:rPr>
              <w:t>Payout Matrix</w:t>
            </w:r>
            <w:r>
              <w:rPr>
                <w:rFonts w:ascii="Arial" w:cs="Arial" w:eastAsia="Arial" w:hAnsi="Arial"/>
                <w:sz w:val="20"/>
                <w:szCs w:val="20"/>
                <w:b w:val="1"/>
                <w:bCs w:val="1"/>
                <w:color w:val="071D49"/>
                <w:vertAlign w:val="superscript"/>
              </w:rPr>
              <w:t>(1)</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071D49"/>
              </w:rPr>
              <w:t>2020 Actual</w:t>
            </w:r>
          </w:p>
        </w:tc>
        <w:tc>
          <w:tcPr>
            <w:tcW w:w="920" w:type="dxa"/>
            <w:vAlign w:val="bottom"/>
          </w:tcPr>
          <w:p>
            <w:pPr>
              <w:ind w:left="120"/>
              <w:spacing w:after="0"/>
              <w:rPr>
                <w:sz w:val="20"/>
                <w:szCs w:val="20"/>
                <w:color w:val="auto"/>
              </w:rPr>
            </w:pPr>
            <w:r>
              <w:rPr>
                <w:rFonts w:ascii="Arial" w:cs="Arial" w:eastAsia="Arial" w:hAnsi="Arial"/>
                <w:sz w:val="14"/>
                <w:szCs w:val="14"/>
                <w:b w:val="1"/>
                <w:bCs w:val="1"/>
                <w:color w:val="071D49"/>
              </w:rPr>
              <w:t>2021 Target</w:t>
            </w:r>
          </w:p>
        </w:tc>
        <w:tc>
          <w:tcPr>
            <w:tcW w:w="1720" w:type="dxa"/>
            <w:vAlign w:val="bottom"/>
          </w:tcPr>
          <w:p>
            <w:pPr>
              <w:jc w:val="right"/>
              <w:ind w:right="373"/>
              <w:spacing w:after="0"/>
              <w:rPr>
                <w:sz w:val="20"/>
                <w:szCs w:val="20"/>
                <w:color w:val="auto"/>
              </w:rPr>
            </w:pPr>
            <w:r>
              <w:rPr>
                <w:rFonts w:ascii="Arial" w:cs="Arial" w:eastAsia="Arial" w:hAnsi="Arial"/>
                <w:sz w:val="14"/>
                <w:szCs w:val="14"/>
                <w:b w:val="1"/>
                <w:bCs w:val="1"/>
                <w:color w:val="071D49"/>
              </w:rPr>
              <w:t>2020 Actual</w:t>
            </w:r>
          </w:p>
        </w:tc>
        <w:tc>
          <w:tcPr>
            <w:tcW w:w="1440" w:type="dxa"/>
            <w:vAlign w:val="bottom"/>
          </w:tcPr>
          <w:p>
            <w:pPr>
              <w:ind w:left="220"/>
              <w:spacing w:after="0"/>
              <w:rPr>
                <w:sz w:val="20"/>
                <w:szCs w:val="20"/>
                <w:color w:val="auto"/>
              </w:rPr>
            </w:pPr>
            <w:r>
              <w:rPr>
                <w:rFonts w:ascii="Arial" w:cs="Arial" w:eastAsia="Arial" w:hAnsi="Arial"/>
                <w:sz w:val="14"/>
                <w:szCs w:val="14"/>
                <w:b w:val="1"/>
                <w:bCs w:val="1"/>
                <w:color w:val="071D49"/>
              </w:rPr>
              <w:t>2021 Actual</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71D49"/>
              </w:rPr>
              <w:t>2021 Target</w:t>
            </w:r>
          </w:p>
        </w:tc>
      </w:tr>
      <w:tr>
        <w:trPr>
          <w:trHeight w:val="209"/>
        </w:trPr>
        <w:tc>
          <w:tcPr>
            <w:tcW w:w="2340" w:type="dxa"/>
            <w:vAlign w:val="bottom"/>
            <w:tcBorders>
              <w:top w:val="single" w:sz="8" w:color="071D49"/>
            </w:tcBorders>
            <w:shd w:val="clear" w:color="auto" w:fill="D9D9D9"/>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GAAP Net Revenues</w:t>
            </w:r>
          </w:p>
        </w:tc>
        <w:tc>
          <w:tcPr>
            <w:tcW w:w="1360" w:type="dxa"/>
            <w:vAlign w:val="bottom"/>
            <w:tcBorders>
              <w:top w:val="single" w:sz="8" w:color="071D49"/>
            </w:tcBorders>
            <w:shd w:val="clear" w:color="auto" w:fill="D9D9D9"/>
          </w:tcPr>
          <w:p>
            <w:pPr>
              <w:ind w:left="240"/>
              <w:spacing w:after="0" w:line="210" w:lineRule="exact"/>
              <w:rPr>
                <w:sz w:val="20"/>
                <w:szCs w:val="20"/>
                <w:color w:val="auto"/>
              </w:rPr>
            </w:pPr>
            <w:r>
              <w:rPr>
                <w:rFonts w:ascii="Arial" w:cs="Arial" w:eastAsia="Arial" w:hAnsi="Arial"/>
                <w:sz w:val="17"/>
                <w:szCs w:val="17"/>
                <w:color w:val="auto"/>
              </w:rPr>
              <w:t xml:space="preserve">$ 45.5 BN </w:t>
            </w:r>
            <w:r>
              <w:rPr>
                <w:rFonts w:ascii="Arial" w:cs="Arial" w:eastAsia="Arial" w:hAnsi="Arial"/>
                <w:sz w:val="24"/>
                <w:szCs w:val="24"/>
                <w:color w:val="auto"/>
                <w:vertAlign w:val="superscript"/>
              </w:rPr>
              <w:t>(2)</w:t>
            </w:r>
          </w:p>
        </w:tc>
        <w:tc>
          <w:tcPr>
            <w:tcW w:w="920" w:type="dxa"/>
            <w:vAlign w:val="bottom"/>
            <w:tcBorders>
              <w:top w:val="single" w:sz="8" w:color="071D49"/>
            </w:tcBorders>
            <w:shd w:val="clear" w:color="auto" w:fill="D9D9D9"/>
          </w:tcPr>
          <w:p>
            <w:pPr>
              <w:ind w:left="60"/>
              <w:spacing w:after="0"/>
              <w:rPr>
                <w:sz w:val="20"/>
                <w:szCs w:val="20"/>
                <w:color w:val="auto"/>
              </w:rPr>
            </w:pPr>
            <w:r>
              <w:rPr>
                <w:rFonts w:ascii="Arial" w:cs="Arial" w:eastAsia="Arial" w:hAnsi="Arial"/>
                <w:sz w:val="18"/>
                <w:szCs w:val="18"/>
                <w:color w:val="auto"/>
              </w:rPr>
              <w:t>$ 55.0 BN</w:t>
            </w:r>
          </w:p>
        </w:tc>
        <w:tc>
          <w:tcPr>
            <w:tcW w:w="1720" w:type="dxa"/>
            <w:vAlign w:val="bottom"/>
            <w:tcBorders>
              <w:top w:val="single" w:sz="8" w:color="071D49"/>
            </w:tcBorders>
            <w:shd w:val="clear" w:color="auto" w:fill="D9D9D9"/>
          </w:tcPr>
          <w:p>
            <w:pPr>
              <w:jc w:val="right"/>
              <w:spacing w:after="0"/>
              <w:rPr>
                <w:sz w:val="20"/>
                <w:szCs w:val="20"/>
                <w:color w:val="auto"/>
              </w:rPr>
            </w:pPr>
            <w:r>
              <w:rPr>
                <w:rFonts w:ascii="Arial" w:cs="Arial" w:eastAsia="Arial" w:hAnsi="Arial"/>
                <w:sz w:val="18"/>
                <w:szCs w:val="18"/>
                <w:color w:val="auto"/>
              </w:rPr>
              <w:t>121 % $</w:t>
            </w:r>
          </w:p>
        </w:tc>
        <w:tc>
          <w:tcPr>
            <w:tcW w:w="1440" w:type="dxa"/>
            <w:vAlign w:val="bottom"/>
            <w:tcBorders>
              <w:top w:val="single" w:sz="8" w:color="071D49"/>
            </w:tcBorders>
            <w:shd w:val="clear" w:color="auto" w:fill="D9D9D9"/>
          </w:tcPr>
          <w:p>
            <w:pPr>
              <w:ind w:left="340"/>
              <w:spacing w:after="0" w:line="210" w:lineRule="exact"/>
              <w:rPr>
                <w:sz w:val="20"/>
                <w:szCs w:val="20"/>
                <w:color w:val="auto"/>
              </w:rPr>
            </w:pPr>
            <w:r>
              <w:rPr>
                <w:rFonts w:ascii="Arial" w:cs="Arial" w:eastAsia="Arial" w:hAnsi="Arial"/>
                <w:sz w:val="17"/>
                <w:szCs w:val="17"/>
                <w:color w:val="auto"/>
              </w:rPr>
              <w:t xml:space="preserve">55.5 BN </w:t>
            </w:r>
            <w:r>
              <w:rPr>
                <w:rFonts w:ascii="Arial" w:cs="Arial" w:eastAsia="Arial" w:hAnsi="Arial"/>
                <w:sz w:val="24"/>
                <w:szCs w:val="24"/>
                <w:color w:val="auto"/>
                <w:vertAlign w:val="superscript"/>
              </w:rPr>
              <w:t>(2)</w:t>
            </w:r>
          </w:p>
        </w:tc>
        <w:tc>
          <w:tcPr>
            <w:tcW w:w="1460" w:type="dxa"/>
            <w:vAlign w:val="bottom"/>
            <w:tcBorders>
              <w:top w:val="single" w:sz="8" w:color="071D49"/>
            </w:tcBorders>
            <w:shd w:val="clear" w:color="auto" w:fill="D9D9D9"/>
          </w:tcPr>
          <w:p>
            <w:pPr>
              <w:jc w:val="right"/>
              <w:spacing w:after="0"/>
              <w:rPr>
                <w:sz w:val="20"/>
                <w:szCs w:val="20"/>
                <w:color w:val="auto"/>
              </w:rPr>
            </w:pPr>
            <w:r>
              <w:rPr>
                <w:rFonts w:ascii="Arial" w:cs="Arial" w:eastAsia="Arial" w:hAnsi="Arial"/>
                <w:sz w:val="18"/>
                <w:szCs w:val="18"/>
                <w:color w:val="auto"/>
              </w:rPr>
              <w:t>101 %</w:t>
            </w:r>
          </w:p>
        </w:tc>
        <w:tc>
          <w:tcPr>
            <w:tcW w:w="20" w:type="dxa"/>
            <w:vAlign w:val="bottom"/>
          </w:tcPr>
          <w:p>
            <w:pPr>
              <w:spacing w:after="0"/>
              <w:rPr>
                <w:sz w:val="18"/>
                <w:szCs w:val="18"/>
                <w:color w:val="auto"/>
              </w:rPr>
            </w:pPr>
          </w:p>
        </w:tc>
      </w:tr>
      <w:tr>
        <w:trPr>
          <w:trHeight w:val="215"/>
        </w:trPr>
        <w:tc>
          <w:tcPr>
            <w:tcW w:w="234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GAAP Income Before</w:t>
            </w: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color w:val="auto"/>
              </w:rPr>
              <w:t>Taxes</w:t>
            </w:r>
          </w:p>
        </w:tc>
        <w:tc>
          <w:tcPr>
            <w:tcW w:w="1360" w:type="dxa"/>
            <w:vAlign w:val="bottom"/>
          </w:tcPr>
          <w:p>
            <w:pPr>
              <w:ind w:left="240"/>
              <w:spacing w:after="0" w:line="203" w:lineRule="exact"/>
              <w:rPr>
                <w:sz w:val="20"/>
                <w:szCs w:val="20"/>
                <w:color w:val="auto"/>
              </w:rPr>
            </w:pPr>
            <w:r>
              <w:rPr>
                <w:rFonts w:ascii="Arial" w:cs="Arial" w:eastAsia="Arial" w:hAnsi="Arial"/>
                <w:sz w:val="16"/>
                <w:szCs w:val="16"/>
                <w:color w:val="auto"/>
              </w:rPr>
              <w:t xml:space="preserve">$ 20.1 BN </w:t>
            </w:r>
            <w:r>
              <w:rPr>
                <w:rFonts w:ascii="Arial" w:cs="Arial" w:eastAsia="Arial" w:hAnsi="Arial"/>
                <w:sz w:val="23"/>
                <w:szCs w:val="23"/>
                <w:color w:val="auto"/>
                <w:vertAlign w:val="superscript"/>
              </w:rPr>
              <w:t>(2)</w:t>
            </w:r>
          </w:p>
        </w:tc>
        <w:tc>
          <w:tcPr>
            <w:tcW w:w="920" w:type="dxa"/>
            <w:vAlign w:val="bottom"/>
          </w:tcPr>
          <w:p>
            <w:pPr>
              <w:ind w:left="60"/>
              <w:spacing w:after="0" w:line="203" w:lineRule="exact"/>
              <w:rPr>
                <w:sz w:val="20"/>
                <w:szCs w:val="20"/>
                <w:color w:val="auto"/>
              </w:rPr>
            </w:pPr>
            <w:r>
              <w:rPr>
                <w:rFonts w:ascii="Arial" w:cs="Arial" w:eastAsia="Arial" w:hAnsi="Arial"/>
                <w:sz w:val="18"/>
                <w:szCs w:val="18"/>
                <w:color w:val="auto"/>
              </w:rPr>
              <w:t>$ 25.4 BN</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126 % $</w:t>
            </w:r>
          </w:p>
        </w:tc>
        <w:tc>
          <w:tcPr>
            <w:tcW w:w="1440" w:type="dxa"/>
            <w:vAlign w:val="bottom"/>
          </w:tcPr>
          <w:p>
            <w:pPr>
              <w:ind w:left="340"/>
              <w:spacing w:after="0" w:line="203" w:lineRule="exact"/>
              <w:rPr>
                <w:sz w:val="20"/>
                <w:szCs w:val="20"/>
                <w:color w:val="auto"/>
              </w:rPr>
            </w:pPr>
            <w:r>
              <w:rPr>
                <w:rFonts w:ascii="Arial" w:cs="Arial" w:eastAsia="Arial" w:hAnsi="Arial"/>
                <w:sz w:val="16"/>
                <w:szCs w:val="16"/>
                <w:color w:val="auto"/>
              </w:rPr>
              <w:t xml:space="preserve">25.9 BN </w:t>
            </w:r>
            <w:r>
              <w:rPr>
                <w:rFonts w:ascii="Arial" w:cs="Arial" w:eastAsia="Arial" w:hAnsi="Arial"/>
                <w:sz w:val="23"/>
                <w:szCs w:val="23"/>
                <w:color w:val="auto"/>
                <w:vertAlign w:val="superscript"/>
              </w:rPr>
              <w:t>(2)</w:t>
            </w:r>
          </w:p>
        </w:tc>
        <w:tc>
          <w:tcPr>
            <w:tcW w:w="14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102 %</w:t>
            </w:r>
          </w:p>
        </w:tc>
      </w:tr>
      <w:tr>
        <w:trPr>
          <w:trHeight w:val="182"/>
        </w:trPr>
        <w:tc>
          <w:tcPr>
            <w:tcW w:w="2340" w:type="dxa"/>
            <w:vAlign w:val="bottom"/>
            <w:tcBorders>
              <w:top w:val="single" w:sz="8" w:color="071D49"/>
            </w:tcBorders>
          </w:tcPr>
          <w:p>
            <w:pPr>
              <w:spacing w:after="0"/>
              <w:rPr>
                <w:sz w:val="15"/>
                <w:szCs w:val="15"/>
                <w:color w:val="auto"/>
              </w:rPr>
            </w:pPr>
          </w:p>
        </w:tc>
        <w:tc>
          <w:tcPr>
            <w:tcW w:w="1360" w:type="dxa"/>
            <w:vAlign w:val="bottom"/>
            <w:tcBorders>
              <w:top w:val="single" w:sz="8" w:color="071D49"/>
            </w:tcBorders>
          </w:tcPr>
          <w:p>
            <w:pPr>
              <w:spacing w:after="0"/>
              <w:rPr>
                <w:sz w:val="15"/>
                <w:szCs w:val="15"/>
                <w:color w:val="auto"/>
              </w:rPr>
            </w:pPr>
          </w:p>
        </w:tc>
        <w:tc>
          <w:tcPr>
            <w:tcW w:w="920" w:type="dxa"/>
            <w:vAlign w:val="bottom"/>
            <w:tcBorders>
              <w:top w:val="single" w:sz="8" w:color="071D49"/>
            </w:tcBorders>
          </w:tcPr>
          <w:p>
            <w:pPr>
              <w:spacing w:after="0"/>
              <w:rPr>
                <w:sz w:val="15"/>
                <w:szCs w:val="15"/>
                <w:color w:val="auto"/>
              </w:rPr>
            </w:pPr>
          </w:p>
        </w:tc>
        <w:tc>
          <w:tcPr>
            <w:tcW w:w="1720" w:type="dxa"/>
            <w:vAlign w:val="bottom"/>
            <w:tcBorders>
              <w:top w:val="single" w:sz="8" w:color="071D49"/>
            </w:tcBorders>
          </w:tcPr>
          <w:p>
            <w:pPr>
              <w:jc w:val="right"/>
              <w:ind w:right="393"/>
              <w:spacing w:after="0" w:line="182" w:lineRule="exact"/>
              <w:rPr>
                <w:sz w:val="20"/>
                <w:szCs w:val="20"/>
                <w:color w:val="auto"/>
              </w:rPr>
            </w:pPr>
            <w:r>
              <w:rPr>
                <w:rFonts w:ascii="Arial" w:cs="Arial" w:eastAsia="Arial" w:hAnsi="Arial"/>
                <w:sz w:val="20"/>
                <w:szCs w:val="20"/>
                <w:b w:val="1"/>
                <w:bCs w:val="1"/>
                <w:color w:val="auto"/>
              </w:rPr>
              <w:t>2021 Payout</w:t>
            </w:r>
          </w:p>
        </w:tc>
        <w:tc>
          <w:tcPr>
            <w:tcW w:w="2900" w:type="dxa"/>
            <w:vAlign w:val="bottom"/>
            <w:tcBorders>
              <w:top w:val="single" w:sz="8" w:color="071D49"/>
            </w:tcBorders>
            <w:gridSpan w:val="2"/>
          </w:tcPr>
          <w:p>
            <w:pPr>
              <w:ind w:left="320"/>
              <w:spacing w:after="0" w:line="182" w:lineRule="exact"/>
              <w:rPr>
                <w:sz w:val="20"/>
                <w:szCs w:val="20"/>
                <w:color w:val="auto"/>
              </w:rPr>
            </w:pPr>
            <w:r>
              <w:rPr>
                <w:rFonts w:ascii="Arial" w:cs="Arial" w:eastAsia="Arial" w:hAnsi="Arial"/>
                <w:sz w:val="20"/>
                <w:szCs w:val="20"/>
                <w:b w:val="1"/>
                <w:bCs w:val="1"/>
                <w:color w:val="auto"/>
              </w:rPr>
              <w:t>Capped at 175% of target</w:t>
            </w:r>
          </w:p>
        </w:tc>
        <w:tc>
          <w:tcPr>
            <w:tcW w:w="20" w:type="dxa"/>
            <w:vAlign w:val="bottom"/>
          </w:tcPr>
          <w:p>
            <w:pPr>
              <w:spacing w:after="0"/>
              <w:rPr>
                <w:sz w:val="15"/>
                <w:szCs w:val="15"/>
                <w:color w:val="auto"/>
              </w:rPr>
            </w:pPr>
          </w:p>
        </w:tc>
      </w:tr>
      <w:tr>
        <w:trPr>
          <w:trHeight w:val="261"/>
        </w:trPr>
        <w:tc>
          <w:tcPr>
            <w:tcW w:w="2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20" w:type="dxa"/>
            <w:vAlign w:val="bottom"/>
          </w:tcPr>
          <w:p>
            <w:pPr>
              <w:jc w:val="right"/>
              <w:ind w:right="393"/>
              <w:spacing w:after="0"/>
              <w:rPr>
                <w:sz w:val="20"/>
                <w:szCs w:val="20"/>
                <w:color w:val="auto"/>
              </w:rPr>
            </w:pPr>
            <w:r>
              <w:rPr>
                <w:rFonts w:ascii="Arial" w:cs="Arial" w:eastAsia="Arial" w:hAnsi="Arial"/>
                <w:sz w:val="20"/>
                <w:szCs w:val="20"/>
                <w:b w:val="1"/>
                <w:bCs w:val="1"/>
                <w:color w:val="auto"/>
                <w:w w:val="97"/>
              </w:rPr>
              <w:t>Matrix Result</w:t>
            </w:r>
          </w:p>
        </w:tc>
        <w:tc>
          <w:tcPr>
            <w:tcW w:w="2920" w:type="dxa"/>
            <w:vAlign w:val="bottom"/>
            <w:gridSpan w:val="3"/>
          </w:tcPr>
          <w:p>
            <w:pPr>
              <w:ind w:left="60"/>
              <w:spacing w:after="0"/>
              <w:rPr>
                <w:sz w:val="20"/>
                <w:szCs w:val="20"/>
                <w:color w:val="auto"/>
              </w:rPr>
            </w:pPr>
            <w:r>
              <w:rPr>
                <w:rFonts w:ascii="Arial" w:cs="Arial" w:eastAsia="Arial" w:hAnsi="Arial"/>
                <w:sz w:val="20"/>
                <w:szCs w:val="20"/>
                <w:b w:val="1"/>
                <w:bCs w:val="1"/>
                <w:color w:val="auto"/>
              </w:rPr>
              <w:t>(below 200% plan maximum)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1474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8" w:lineRule="exact"/>
        <w:rPr>
          <w:sz w:val="20"/>
          <w:szCs w:val="20"/>
          <w:color w:val="auto"/>
        </w:rPr>
      </w:pPr>
    </w:p>
    <w:p>
      <w:pPr>
        <w:ind w:left="321" w:hanging="321"/>
        <w:spacing w:after="0"/>
        <w:tabs>
          <w:tab w:leader="none" w:pos="3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achieved reflect certain specified items, which are reconciled in Appendix B.</w:t>
      </w:r>
    </w:p>
    <w:p>
      <w:pPr>
        <w:spacing w:after="0" w:line="211" w:lineRule="exact"/>
        <w:rPr>
          <w:rFonts w:ascii="Arial" w:cs="Arial" w:eastAsia="Arial" w:hAnsi="Arial"/>
          <w:sz w:val="18"/>
          <w:szCs w:val="18"/>
          <w:color w:val="auto"/>
        </w:rPr>
      </w:pPr>
    </w:p>
    <w:p>
      <w:pPr>
        <w:ind w:left="321" w:hanging="321"/>
        <w:spacing w:after="0"/>
        <w:tabs>
          <w:tab w:leader="none" w:pos="321"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on a constant currency basis.</w:t>
      </w:r>
    </w:p>
    <w:p>
      <w:pPr>
        <w:spacing w:after="0" w:line="212" w:lineRule="exact"/>
        <w:rPr>
          <w:sz w:val="20"/>
          <w:szCs w:val="20"/>
          <w:color w:val="auto"/>
        </w:rPr>
      </w:pPr>
    </w:p>
    <w:p>
      <w:pPr>
        <w:ind w:left="1" w:right="60"/>
        <w:spacing w:after="0" w:line="237" w:lineRule="auto"/>
        <w:rPr>
          <w:sz w:val="20"/>
          <w:szCs w:val="20"/>
          <w:color w:val="auto"/>
        </w:rPr>
      </w:pPr>
      <w:r>
        <w:rPr>
          <w:rFonts w:ascii="Arial" w:cs="Arial" w:eastAsia="Arial" w:hAnsi="Arial"/>
          <w:sz w:val="18"/>
          <w:szCs w:val="18"/>
          <w:color w:val="auto"/>
        </w:rPr>
        <w:t>Final awards are determined by the compensation committee based on a qualitative assessment of holistic performance. While the committee relies heavily on objective, quantitative metrics to determine PIP awards, this qualitative element ensures the review is comprehensive and includes all individual, strategic, and leadership goals for which assessment is not dictated solely by numeric or formulaic applications. Moreover, while each participant has predetermined goals, the committee also considers relative achievements and/or developments in the company, the marketplace, and the global economy that could not have been foreseen when individual goals were established. Actual awards paid ranged from 152% to 175% of the target award.</w:t>
      </w:r>
    </w:p>
    <w:p>
      <w:pPr>
        <w:spacing w:after="0" w:line="366"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100" w:type="dxa"/>
            <w:vAlign w:val="bottom"/>
          </w:tcPr>
          <w:p>
            <w:pPr>
              <w:jc w:val="right"/>
              <w:ind w:right="75"/>
              <w:spacing w:after="0"/>
              <w:rPr>
                <w:sz w:val="20"/>
                <w:szCs w:val="20"/>
                <w:color w:val="auto"/>
              </w:rPr>
            </w:pPr>
            <w:r>
              <w:rPr>
                <w:rFonts w:ascii="Arial" w:cs="Arial" w:eastAsia="Arial" w:hAnsi="Arial"/>
                <w:sz w:val="14"/>
                <w:szCs w:val="14"/>
                <w:b w:val="1"/>
                <w:bCs w:val="1"/>
                <w:color w:val="071D49"/>
              </w:rPr>
              <w:t>Target</w:t>
            </w: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071D49"/>
              </w:rPr>
              <w:t>Actual Award</w:t>
            </w:r>
          </w:p>
        </w:tc>
        <w:tc>
          <w:tcPr>
            <w:tcW w:w="1180" w:type="dxa"/>
            <w:vAlign w:val="bottom"/>
          </w:tcPr>
          <w:p>
            <w:pPr>
              <w:ind w:left="260"/>
              <w:spacing w:after="0"/>
              <w:rPr>
                <w:sz w:val="20"/>
                <w:szCs w:val="20"/>
                <w:color w:val="auto"/>
              </w:rPr>
            </w:pPr>
            <w:r>
              <w:rPr>
                <w:rFonts w:ascii="Arial" w:cs="Arial" w:eastAsia="Arial" w:hAnsi="Arial"/>
                <w:sz w:val="14"/>
                <w:szCs w:val="14"/>
                <w:b w:val="1"/>
                <w:bCs w:val="1"/>
                <w:color w:val="071D49"/>
              </w:rPr>
              <w:t>Incentive</w:t>
            </w:r>
          </w:p>
        </w:tc>
      </w:tr>
      <w:tr>
        <w:trPr>
          <w:trHeight w:val="175"/>
        </w:trPr>
        <w:tc>
          <w:tcPr>
            <w:tcW w:w="3680" w:type="dxa"/>
            <w:vAlign w:val="bottom"/>
            <w:tcBorders>
              <w:bottom w:val="single" w:sz="8" w:color="071D49"/>
            </w:tcBorders>
          </w:tcPr>
          <w:p>
            <w:pPr>
              <w:spacing w:after="0"/>
              <w:rPr>
                <w:sz w:val="15"/>
                <w:szCs w:val="15"/>
                <w:color w:val="auto"/>
              </w:rPr>
            </w:pPr>
          </w:p>
        </w:tc>
        <w:tc>
          <w:tcPr>
            <w:tcW w:w="3100" w:type="dxa"/>
            <w:vAlign w:val="bottom"/>
            <w:tcBorders>
              <w:bottom w:val="single" w:sz="8" w:color="071D49"/>
            </w:tcBorders>
          </w:tcPr>
          <w:p>
            <w:pPr>
              <w:jc w:val="right"/>
              <w:ind w:right="75"/>
              <w:spacing w:after="0"/>
              <w:rPr>
                <w:sz w:val="20"/>
                <w:szCs w:val="20"/>
                <w:color w:val="auto"/>
              </w:rPr>
            </w:pPr>
            <w:r>
              <w:rPr>
                <w:rFonts w:ascii="Arial" w:cs="Arial" w:eastAsia="Arial" w:hAnsi="Arial"/>
                <w:sz w:val="14"/>
                <w:szCs w:val="14"/>
                <w:b w:val="1"/>
                <w:bCs w:val="1"/>
                <w:color w:val="071D49"/>
              </w:rPr>
              <w:t>Award</w:t>
            </w:r>
          </w:p>
        </w:tc>
        <w:tc>
          <w:tcPr>
            <w:tcW w:w="1340" w:type="dxa"/>
            <w:vAlign w:val="bottom"/>
            <w:tcBorders>
              <w:bottom w:val="single" w:sz="8" w:color="071D49"/>
            </w:tcBorders>
          </w:tcPr>
          <w:p>
            <w:pPr>
              <w:jc w:val="right"/>
              <w:ind w:right="155"/>
              <w:spacing w:after="0"/>
              <w:rPr>
                <w:sz w:val="20"/>
                <w:szCs w:val="20"/>
                <w:color w:val="auto"/>
              </w:rPr>
            </w:pPr>
            <w:r>
              <w:rPr>
                <w:rFonts w:ascii="Arial" w:cs="Arial" w:eastAsia="Arial" w:hAnsi="Arial"/>
                <w:sz w:val="14"/>
                <w:szCs w:val="14"/>
                <w:b w:val="1"/>
                <w:bCs w:val="1"/>
                <w:color w:val="071D49"/>
              </w:rPr>
              <w:t>Paid</w:t>
            </w:r>
          </w:p>
        </w:tc>
        <w:tc>
          <w:tcPr>
            <w:tcW w:w="1180" w:type="dxa"/>
            <w:vAlign w:val="bottom"/>
            <w:tcBorders>
              <w:bottom w:val="single" w:sz="8" w:color="071D49"/>
            </w:tcBorders>
          </w:tcPr>
          <w:p>
            <w:pPr>
              <w:ind w:left="260"/>
              <w:spacing w:after="0"/>
              <w:rPr>
                <w:sz w:val="20"/>
                <w:szCs w:val="20"/>
                <w:color w:val="auto"/>
              </w:rPr>
            </w:pPr>
            <w:r>
              <w:rPr>
                <w:rFonts w:ascii="Arial" w:cs="Arial" w:eastAsia="Arial" w:hAnsi="Arial"/>
                <w:sz w:val="14"/>
                <w:szCs w:val="14"/>
                <w:b w:val="1"/>
                <w:bCs w:val="1"/>
                <w:color w:val="071D49"/>
              </w:rPr>
              <w:t>Target %</w:t>
            </w:r>
          </w:p>
        </w:tc>
      </w:tr>
      <w:tr>
        <w:trPr>
          <w:trHeight w:val="196"/>
        </w:trPr>
        <w:tc>
          <w:tcPr>
            <w:tcW w:w="36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Richard A. Gonzalez</w:t>
            </w:r>
          </w:p>
        </w:tc>
        <w:tc>
          <w:tcPr>
            <w:tcW w:w="3100" w:type="dxa"/>
            <w:vAlign w:val="bottom"/>
            <w:shd w:val="clear" w:color="auto" w:fill="D9D9D9"/>
          </w:tcPr>
          <w:p>
            <w:pPr>
              <w:jc w:val="right"/>
              <w:ind w:right="115"/>
              <w:spacing w:after="0" w:line="196" w:lineRule="exact"/>
              <w:rPr>
                <w:sz w:val="20"/>
                <w:szCs w:val="20"/>
                <w:color w:val="auto"/>
              </w:rPr>
            </w:pPr>
            <w:r>
              <w:rPr>
                <w:rFonts w:ascii="Arial" w:cs="Arial" w:eastAsia="Arial" w:hAnsi="Arial"/>
                <w:sz w:val="18"/>
                <w:szCs w:val="18"/>
                <w:color w:val="auto"/>
              </w:rPr>
              <w:t>$ 2,805,000</w:t>
            </w:r>
          </w:p>
        </w:tc>
        <w:tc>
          <w:tcPr>
            <w:tcW w:w="1340" w:type="dxa"/>
            <w:vAlign w:val="bottom"/>
            <w:shd w:val="clear" w:color="auto" w:fill="D9D9D9"/>
          </w:tcPr>
          <w:p>
            <w:pPr>
              <w:jc w:val="right"/>
              <w:ind w:right="175"/>
              <w:spacing w:after="0" w:line="196" w:lineRule="exact"/>
              <w:rPr>
                <w:sz w:val="20"/>
                <w:szCs w:val="20"/>
                <w:color w:val="auto"/>
              </w:rPr>
            </w:pPr>
            <w:r>
              <w:rPr>
                <w:rFonts w:ascii="Arial" w:cs="Arial" w:eastAsia="Arial" w:hAnsi="Arial"/>
                <w:sz w:val="18"/>
                <w:szCs w:val="18"/>
                <w:color w:val="auto"/>
              </w:rPr>
              <w:t>$4,908,750</w:t>
            </w:r>
          </w:p>
        </w:tc>
        <w:tc>
          <w:tcPr>
            <w:tcW w:w="1180" w:type="dxa"/>
            <w:vAlign w:val="bottom"/>
            <w:shd w:val="clear" w:color="auto" w:fill="D9D9D9"/>
          </w:tcPr>
          <w:p>
            <w:pPr>
              <w:jc w:val="right"/>
              <w:ind w:right="35"/>
              <w:spacing w:after="0" w:line="196" w:lineRule="exact"/>
              <w:rPr>
                <w:sz w:val="20"/>
                <w:szCs w:val="20"/>
                <w:color w:val="auto"/>
              </w:rPr>
            </w:pPr>
            <w:r>
              <w:rPr>
                <w:rFonts w:ascii="Arial" w:cs="Arial" w:eastAsia="Arial" w:hAnsi="Arial"/>
                <w:sz w:val="18"/>
                <w:szCs w:val="18"/>
                <w:color w:val="auto"/>
              </w:rPr>
              <w:t>165 %</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Robert A. Michael</w:t>
            </w:r>
          </w:p>
        </w:tc>
        <w:tc>
          <w:tcPr>
            <w:tcW w:w="3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1,625,000</w:t>
            </w:r>
          </w:p>
        </w:tc>
        <w:tc>
          <w:tcPr>
            <w:tcW w:w="13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2,630,000</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125 %</w:t>
            </w:r>
          </w:p>
        </w:tc>
      </w:tr>
      <w:tr>
        <w:trPr>
          <w:trHeight w:val="203"/>
        </w:trPr>
        <w:tc>
          <w:tcPr>
            <w:tcW w:w="36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Laura J. Schumacher</w:t>
            </w:r>
          </w:p>
        </w:tc>
        <w:tc>
          <w:tcPr>
            <w:tcW w:w="3100" w:type="dxa"/>
            <w:vAlign w:val="bottom"/>
            <w:shd w:val="clear" w:color="auto" w:fill="D9D9D9"/>
          </w:tcPr>
          <w:p>
            <w:pPr>
              <w:jc w:val="right"/>
              <w:ind w:right="115"/>
              <w:spacing w:after="0" w:line="202" w:lineRule="exact"/>
              <w:rPr>
                <w:sz w:val="20"/>
                <w:szCs w:val="20"/>
                <w:color w:val="auto"/>
              </w:rPr>
            </w:pPr>
            <w:r>
              <w:rPr>
                <w:rFonts w:ascii="Arial" w:cs="Arial" w:eastAsia="Arial" w:hAnsi="Arial"/>
                <w:sz w:val="18"/>
                <w:szCs w:val="18"/>
                <w:color w:val="auto"/>
              </w:rPr>
              <w:t>1,507,920</w:t>
            </w:r>
          </w:p>
        </w:tc>
        <w:tc>
          <w:tcPr>
            <w:tcW w:w="1340" w:type="dxa"/>
            <w:vAlign w:val="bottom"/>
            <w:shd w:val="clear" w:color="auto" w:fill="D9D9D9"/>
          </w:tcPr>
          <w:p>
            <w:pPr>
              <w:jc w:val="right"/>
              <w:ind w:right="175"/>
              <w:spacing w:after="0" w:line="202" w:lineRule="exact"/>
              <w:rPr>
                <w:sz w:val="20"/>
                <w:szCs w:val="20"/>
                <w:color w:val="auto"/>
              </w:rPr>
            </w:pPr>
            <w:r>
              <w:rPr>
                <w:rFonts w:ascii="Arial" w:cs="Arial" w:eastAsia="Arial" w:hAnsi="Arial"/>
                <w:sz w:val="18"/>
                <w:szCs w:val="18"/>
                <w:color w:val="auto"/>
              </w:rPr>
              <w:t>2,638,860</w:t>
            </w:r>
          </w:p>
        </w:tc>
        <w:tc>
          <w:tcPr>
            <w:tcW w:w="1180" w:type="dxa"/>
            <w:vAlign w:val="bottom"/>
            <w:shd w:val="clear" w:color="auto" w:fill="D9D9D9"/>
          </w:tcPr>
          <w:p>
            <w:pPr>
              <w:jc w:val="right"/>
              <w:ind w:right="35"/>
              <w:spacing w:after="0" w:line="202" w:lineRule="exact"/>
              <w:rPr>
                <w:sz w:val="20"/>
                <w:szCs w:val="20"/>
                <w:color w:val="auto"/>
              </w:rPr>
            </w:pPr>
            <w:r>
              <w:rPr>
                <w:rFonts w:ascii="Arial" w:cs="Arial" w:eastAsia="Arial" w:hAnsi="Arial"/>
                <w:sz w:val="18"/>
                <w:szCs w:val="18"/>
                <w:color w:val="auto"/>
              </w:rPr>
              <w:t>120 %</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Michael E. Severino</w:t>
            </w:r>
          </w:p>
        </w:tc>
        <w:tc>
          <w:tcPr>
            <w:tcW w:w="310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1,775,725</w:t>
            </w:r>
          </w:p>
        </w:tc>
        <w:tc>
          <w:tcPr>
            <w:tcW w:w="13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2,700,000</w:t>
            </w:r>
          </w:p>
        </w:tc>
        <w:tc>
          <w:tcPr>
            <w:tcW w:w="11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125 %</w:t>
            </w:r>
          </w:p>
        </w:tc>
      </w:tr>
      <w:tr>
        <w:trPr>
          <w:trHeight w:val="203"/>
        </w:trPr>
        <w:tc>
          <w:tcPr>
            <w:tcW w:w="3680" w:type="dxa"/>
            <w:vAlign w:val="bottom"/>
            <w:tcBorders>
              <w:bottom w:val="single" w:sz="8" w:color="071D49"/>
            </w:tcBorders>
            <w:shd w:val="clear" w:color="auto" w:fill="D9D9D9"/>
          </w:tcPr>
          <w:p>
            <w:pPr>
              <w:spacing w:after="0" w:line="202" w:lineRule="exact"/>
              <w:rPr>
                <w:sz w:val="20"/>
                <w:szCs w:val="20"/>
                <w:color w:val="auto"/>
              </w:rPr>
            </w:pPr>
            <w:r>
              <w:rPr>
                <w:rFonts w:ascii="Arial" w:cs="Arial" w:eastAsia="Arial" w:hAnsi="Arial"/>
                <w:sz w:val="18"/>
                <w:szCs w:val="18"/>
                <w:color w:val="auto"/>
              </w:rPr>
              <w:t>Jeffrey R. Stewart</w:t>
            </w:r>
          </w:p>
        </w:tc>
        <w:tc>
          <w:tcPr>
            <w:tcW w:w="3100" w:type="dxa"/>
            <w:vAlign w:val="bottom"/>
            <w:tcBorders>
              <w:bottom w:val="single" w:sz="8" w:color="071D49"/>
            </w:tcBorders>
            <w:shd w:val="clear" w:color="auto" w:fill="D9D9D9"/>
          </w:tcPr>
          <w:p>
            <w:pPr>
              <w:jc w:val="right"/>
              <w:ind w:right="115"/>
              <w:spacing w:after="0" w:line="202" w:lineRule="exact"/>
              <w:rPr>
                <w:sz w:val="20"/>
                <w:szCs w:val="20"/>
                <w:color w:val="auto"/>
              </w:rPr>
            </w:pPr>
            <w:r>
              <w:rPr>
                <w:rFonts w:ascii="Arial" w:cs="Arial" w:eastAsia="Arial" w:hAnsi="Arial"/>
                <w:sz w:val="18"/>
                <w:szCs w:val="18"/>
                <w:color w:val="auto"/>
              </w:rPr>
              <w:t>1,189,650</w:t>
            </w:r>
          </w:p>
        </w:tc>
        <w:tc>
          <w:tcPr>
            <w:tcW w:w="1340" w:type="dxa"/>
            <w:vAlign w:val="bottom"/>
            <w:tcBorders>
              <w:bottom w:val="single" w:sz="8" w:color="071D49"/>
            </w:tcBorders>
            <w:shd w:val="clear" w:color="auto" w:fill="D9D9D9"/>
          </w:tcPr>
          <w:p>
            <w:pPr>
              <w:jc w:val="right"/>
              <w:ind w:right="175"/>
              <w:spacing w:after="0" w:line="202" w:lineRule="exact"/>
              <w:rPr>
                <w:sz w:val="20"/>
                <w:szCs w:val="20"/>
                <w:color w:val="auto"/>
              </w:rPr>
            </w:pPr>
            <w:r>
              <w:rPr>
                <w:rFonts w:ascii="Arial" w:cs="Arial" w:eastAsia="Arial" w:hAnsi="Arial"/>
                <w:sz w:val="18"/>
                <w:szCs w:val="18"/>
                <w:color w:val="auto"/>
              </w:rPr>
              <w:t>2,050,000</w:t>
            </w:r>
          </w:p>
        </w:tc>
        <w:tc>
          <w:tcPr>
            <w:tcW w:w="1180" w:type="dxa"/>
            <w:vAlign w:val="bottom"/>
            <w:tcBorders>
              <w:bottom w:val="single" w:sz="8" w:color="071D49"/>
            </w:tcBorders>
            <w:shd w:val="clear" w:color="auto" w:fill="D9D9D9"/>
          </w:tcPr>
          <w:p>
            <w:pPr>
              <w:jc w:val="right"/>
              <w:ind w:right="35"/>
              <w:spacing w:after="0" w:line="202" w:lineRule="exact"/>
              <w:rPr>
                <w:sz w:val="20"/>
                <w:szCs w:val="20"/>
                <w:color w:val="auto"/>
              </w:rPr>
            </w:pPr>
            <w:r>
              <w:rPr>
                <w:rFonts w:ascii="Arial" w:cs="Arial" w:eastAsia="Arial" w:hAnsi="Arial"/>
                <w:sz w:val="18"/>
                <w:szCs w:val="18"/>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874395" cy="16319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301"/>
          </w:cols>
          <w:pgMar w:left="1319" w:top="530" w:right="1279" w:bottom="1440" w:gutter="0" w:footer="0" w:header="0"/>
        </w:sectPr>
      </w:pPr>
    </w:p>
    <w:bookmarkStart w:id="47" w:name="page48"/>
    <w:bookmarkEnd w:id="47"/>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LONG-TERM INCENTIVES</w:t>
      </w:r>
    </w:p>
    <w:p>
      <w:pPr>
        <w:spacing w:after="0" w:line="126" w:lineRule="exact"/>
        <w:rPr>
          <w:sz w:val="20"/>
          <w:szCs w:val="20"/>
          <w:color w:val="auto"/>
        </w:rPr>
      </w:pPr>
    </w:p>
    <w:p>
      <w:pPr>
        <w:ind w:left="1" w:right="120"/>
        <w:spacing w:after="0"/>
        <w:rPr>
          <w:sz w:val="20"/>
          <w:szCs w:val="20"/>
          <w:color w:val="auto"/>
        </w:rPr>
      </w:pPr>
      <w:r>
        <w:rPr>
          <w:rFonts w:ascii="Arial" w:cs="Arial" w:eastAsia="Arial" w:hAnsi="Arial"/>
          <w:sz w:val="18"/>
          <w:szCs w:val="18"/>
          <w:color w:val="auto"/>
        </w:rPr>
        <w:t>The LTI program design aligns AbbVie’s long-term incentive compensation with key operational and financial initiatives, including sustained EPS growth and generation of superior investment returns relative to peers. In 2021, NEOs received annual grant LTI awards with the following characteristics: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Program</w:t>
      </w:r>
    </w:p>
    <w:p>
      <w:pPr>
        <w:spacing w:after="0" w:line="228"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980" w:type="dxa"/>
            <w:vAlign w:val="bottom"/>
            <w:tcBorders>
              <w:top w:val="single" w:sz="8" w:color="071D49"/>
              <w:bottom w:val="single" w:sz="8" w:color="071D49"/>
            </w:tcBorders>
            <w:gridSpan w:val="2"/>
          </w:tcPr>
          <w:p>
            <w:pPr>
              <w:ind w:left="100"/>
              <w:spacing w:after="0"/>
              <w:rPr>
                <w:sz w:val="20"/>
                <w:szCs w:val="20"/>
                <w:color w:val="auto"/>
              </w:rPr>
            </w:pPr>
            <w:r>
              <w:rPr>
                <w:rFonts w:ascii="Arial" w:cs="Arial" w:eastAsia="Arial" w:hAnsi="Arial"/>
                <w:sz w:val="18"/>
                <w:szCs w:val="18"/>
                <w:b w:val="1"/>
                <w:bCs w:val="1"/>
                <w:color w:val="071D49"/>
              </w:rPr>
              <w:t>Award Type</w:t>
            </w:r>
          </w:p>
        </w:tc>
        <w:tc>
          <w:tcPr>
            <w:tcW w:w="3400" w:type="dxa"/>
            <w:vAlign w:val="bottom"/>
            <w:tcBorders>
              <w:top w:val="single" w:sz="8" w:color="071D49"/>
              <w:bottom w:val="single" w:sz="8" w:color="071D49"/>
            </w:tcBorders>
          </w:tcPr>
          <w:p>
            <w:pPr>
              <w:jc w:val="center"/>
              <w:ind w:left="230"/>
              <w:spacing w:after="0"/>
              <w:rPr>
                <w:sz w:val="20"/>
                <w:szCs w:val="20"/>
                <w:color w:val="auto"/>
              </w:rPr>
            </w:pPr>
            <w:r>
              <w:rPr>
                <w:rFonts w:ascii="Arial" w:cs="Arial" w:eastAsia="Arial" w:hAnsi="Arial"/>
                <w:sz w:val="18"/>
                <w:szCs w:val="18"/>
                <w:b w:val="1"/>
                <w:bCs w:val="1"/>
                <w:color w:val="071D49"/>
                <w:w w:val="98"/>
              </w:rPr>
              <w:t>Metric</w:t>
            </w:r>
          </w:p>
        </w:tc>
        <w:tc>
          <w:tcPr>
            <w:tcW w:w="1860" w:type="dxa"/>
            <w:vAlign w:val="bottom"/>
            <w:tcBorders>
              <w:top w:val="single" w:sz="8" w:color="071D49"/>
              <w:bottom w:val="single" w:sz="8" w:color="071D49"/>
            </w:tcBorders>
          </w:tcPr>
          <w:p>
            <w:pPr>
              <w:jc w:val="center"/>
              <w:ind w:left="30"/>
              <w:spacing w:after="0"/>
              <w:rPr>
                <w:sz w:val="20"/>
                <w:szCs w:val="20"/>
                <w:color w:val="auto"/>
              </w:rPr>
            </w:pPr>
            <w:r>
              <w:rPr>
                <w:rFonts w:ascii="Arial" w:cs="Arial" w:eastAsia="Arial" w:hAnsi="Arial"/>
                <w:sz w:val="18"/>
                <w:szCs w:val="18"/>
                <w:b w:val="1"/>
                <w:bCs w:val="1"/>
                <w:color w:val="071D49"/>
                <w:w w:val="99"/>
              </w:rPr>
              <w:t>Performance Period</w:t>
            </w:r>
          </w:p>
        </w:tc>
      </w:tr>
      <w:tr>
        <w:trPr>
          <w:trHeight w:val="209"/>
        </w:trPr>
        <w:tc>
          <w:tcPr>
            <w:tcW w:w="5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40%</w:t>
            </w:r>
          </w:p>
        </w:tc>
        <w:tc>
          <w:tcPr>
            <w:tcW w:w="3480" w:type="dxa"/>
            <w:vAlign w:val="bottom"/>
            <w:shd w:val="clear" w:color="auto" w:fill="D9D9D9"/>
          </w:tcPr>
          <w:p>
            <w:pPr>
              <w:ind w:left="20"/>
              <w:spacing w:after="0"/>
              <w:rPr>
                <w:sz w:val="20"/>
                <w:szCs w:val="20"/>
                <w:color w:val="auto"/>
              </w:rPr>
            </w:pPr>
            <w:r>
              <w:rPr>
                <w:rFonts w:ascii="Arial" w:cs="Arial" w:eastAsia="Arial" w:hAnsi="Arial"/>
                <w:sz w:val="18"/>
                <w:szCs w:val="18"/>
                <w:color w:val="auto"/>
              </w:rPr>
              <w:t>Performance Shares</w:t>
            </w:r>
          </w:p>
        </w:tc>
        <w:tc>
          <w:tcPr>
            <w:tcW w:w="3400" w:type="dxa"/>
            <w:vAlign w:val="bottom"/>
            <w:shd w:val="clear" w:color="auto" w:fill="D9D9D9"/>
          </w:tcPr>
          <w:p>
            <w:pPr>
              <w:jc w:val="center"/>
              <w:ind w:left="250"/>
              <w:spacing w:after="0" w:line="207" w:lineRule="exact"/>
              <w:rPr>
                <w:sz w:val="20"/>
                <w:szCs w:val="20"/>
                <w:color w:val="auto"/>
              </w:rPr>
            </w:pPr>
            <w:r>
              <w:rPr>
                <w:rFonts w:ascii="Arial" w:cs="Arial" w:eastAsia="Arial" w:hAnsi="Arial"/>
                <w:sz w:val="18"/>
                <w:szCs w:val="18"/>
                <w:color w:val="auto"/>
                <w:w w:val="99"/>
              </w:rPr>
              <w:t>EPS 3</w:t>
            </w:r>
            <w:r>
              <w:rPr>
                <w:rFonts w:ascii="MS PGothic" w:cs="MS PGothic" w:eastAsia="MS PGothic" w:hAnsi="MS PGothic"/>
                <w:sz w:val="18"/>
                <w:szCs w:val="18"/>
                <w:color w:val="auto"/>
                <w:w w:val="99"/>
              </w:rPr>
              <w:t>‑</w:t>
            </w:r>
            <w:r>
              <w:rPr>
                <w:rFonts w:ascii="Arial" w:cs="Arial" w:eastAsia="Arial" w:hAnsi="Arial"/>
                <w:sz w:val="18"/>
                <w:szCs w:val="18"/>
                <w:color w:val="auto"/>
                <w:w w:val="99"/>
              </w:rPr>
              <w:t>Year Relative TSR Modifier</w:t>
            </w:r>
          </w:p>
        </w:tc>
        <w:tc>
          <w:tcPr>
            <w:tcW w:w="1860" w:type="dxa"/>
            <w:vAlign w:val="bottom"/>
            <w:shd w:val="clear" w:color="auto" w:fill="D9D9D9"/>
          </w:tcPr>
          <w:p>
            <w:pPr>
              <w:jc w:val="center"/>
              <w:ind w:left="30"/>
              <w:spacing w:after="0"/>
              <w:rPr>
                <w:sz w:val="20"/>
                <w:szCs w:val="20"/>
                <w:color w:val="auto"/>
              </w:rPr>
            </w:pPr>
            <w:r>
              <w:rPr>
                <w:rFonts w:ascii="Arial" w:cs="Arial" w:eastAsia="Arial" w:hAnsi="Arial"/>
                <w:sz w:val="18"/>
                <w:szCs w:val="18"/>
                <w:color w:val="auto"/>
                <w:w w:val="99"/>
              </w:rPr>
              <w:t>3 Years</w:t>
            </w:r>
          </w:p>
        </w:tc>
      </w:tr>
      <w:tr>
        <w:trPr>
          <w:trHeight w:val="216"/>
        </w:trPr>
        <w:tc>
          <w:tcPr>
            <w:tcW w:w="500" w:type="dxa"/>
            <w:vAlign w:val="bottom"/>
          </w:tcPr>
          <w:p>
            <w:pPr>
              <w:ind w:left="100"/>
              <w:spacing w:after="0"/>
              <w:rPr>
                <w:sz w:val="20"/>
                <w:szCs w:val="20"/>
                <w:color w:val="auto"/>
              </w:rPr>
            </w:pPr>
            <w:r>
              <w:rPr>
                <w:rFonts w:ascii="Arial" w:cs="Arial" w:eastAsia="Arial" w:hAnsi="Arial"/>
                <w:sz w:val="18"/>
                <w:szCs w:val="18"/>
                <w:color w:val="auto"/>
              </w:rPr>
              <w:t>40%</w:t>
            </w:r>
          </w:p>
        </w:tc>
        <w:tc>
          <w:tcPr>
            <w:tcW w:w="3480" w:type="dxa"/>
            <w:vAlign w:val="bottom"/>
          </w:tcPr>
          <w:p>
            <w:pPr>
              <w:ind w:left="20"/>
              <w:spacing w:after="0" w:line="207" w:lineRule="exact"/>
              <w:rPr>
                <w:sz w:val="20"/>
                <w:szCs w:val="20"/>
                <w:color w:val="auto"/>
              </w:rPr>
            </w:pPr>
            <w:r>
              <w:rPr>
                <w:rFonts w:ascii="Arial" w:cs="Arial" w:eastAsia="Arial" w:hAnsi="Arial"/>
                <w:sz w:val="18"/>
                <w:szCs w:val="18"/>
                <w:color w:val="auto"/>
              </w:rPr>
              <w:t>Performance</w:t>
            </w:r>
            <w:r>
              <w:rPr>
                <w:rFonts w:ascii="MS PGothic" w:cs="MS PGothic" w:eastAsia="MS PGothic" w:hAnsi="MS PGothic"/>
                <w:sz w:val="18"/>
                <w:szCs w:val="18"/>
                <w:color w:val="auto"/>
              </w:rPr>
              <w:t>‑</w:t>
            </w:r>
            <w:r>
              <w:rPr>
                <w:rFonts w:ascii="Arial" w:cs="Arial" w:eastAsia="Arial" w:hAnsi="Arial"/>
                <w:sz w:val="18"/>
                <w:szCs w:val="18"/>
                <w:color w:val="auto"/>
              </w:rPr>
              <w:t>Vested Restricted Stock</w:t>
            </w:r>
          </w:p>
        </w:tc>
        <w:tc>
          <w:tcPr>
            <w:tcW w:w="3400" w:type="dxa"/>
            <w:vAlign w:val="bottom"/>
          </w:tcPr>
          <w:p>
            <w:pPr>
              <w:jc w:val="center"/>
              <w:ind w:left="230"/>
              <w:spacing w:after="0"/>
              <w:rPr>
                <w:sz w:val="20"/>
                <w:szCs w:val="20"/>
                <w:color w:val="auto"/>
              </w:rPr>
            </w:pPr>
            <w:r>
              <w:rPr>
                <w:rFonts w:ascii="Arial" w:cs="Arial" w:eastAsia="Arial" w:hAnsi="Arial"/>
                <w:sz w:val="18"/>
                <w:szCs w:val="18"/>
                <w:color w:val="auto"/>
              </w:rPr>
              <w:t>Relative Return on Invested Capital</w:t>
            </w:r>
          </w:p>
        </w:tc>
        <w:tc>
          <w:tcPr>
            <w:tcW w:w="1860" w:type="dxa"/>
            <w:vAlign w:val="bottom"/>
          </w:tcPr>
          <w:p>
            <w:pPr>
              <w:jc w:val="center"/>
              <w:ind w:left="30"/>
              <w:spacing w:after="0"/>
              <w:rPr>
                <w:sz w:val="20"/>
                <w:szCs w:val="20"/>
                <w:color w:val="auto"/>
              </w:rPr>
            </w:pPr>
            <w:r>
              <w:rPr>
                <w:rFonts w:ascii="Arial" w:cs="Arial" w:eastAsia="Arial" w:hAnsi="Arial"/>
                <w:sz w:val="18"/>
                <w:szCs w:val="18"/>
                <w:color w:val="auto"/>
                <w:w w:val="99"/>
              </w:rPr>
              <w:t>3 Years</w:t>
            </w:r>
          </w:p>
        </w:tc>
      </w:tr>
      <w:tr>
        <w:trPr>
          <w:trHeight w:val="216"/>
        </w:trPr>
        <w:tc>
          <w:tcPr>
            <w:tcW w:w="500" w:type="dxa"/>
            <w:vAlign w:val="bottom"/>
            <w:tcBorders>
              <w:bottom w:val="single" w:sz="8" w:color="071D49"/>
            </w:tcBorders>
            <w:shd w:val="clear" w:color="auto" w:fill="D9D9D9"/>
          </w:tcPr>
          <w:p>
            <w:pPr>
              <w:ind w:left="100"/>
              <w:spacing w:after="0"/>
              <w:rPr>
                <w:sz w:val="20"/>
                <w:szCs w:val="20"/>
                <w:color w:val="auto"/>
              </w:rPr>
            </w:pPr>
            <w:r>
              <w:rPr>
                <w:rFonts w:ascii="Arial" w:cs="Arial" w:eastAsia="Arial" w:hAnsi="Arial"/>
                <w:sz w:val="18"/>
                <w:szCs w:val="18"/>
                <w:color w:val="auto"/>
              </w:rPr>
              <w:t>20%</w:t>
            </w:r>
          </w:p>
        </w:tc>
        <w:tc>
          <w:tcPr>
            <w:tcW w:w="3480" w:type="dxa"/>
            <w:vAlign w:val="bottom"/>
            <w:tcBorders>
              <w:bottom w:val="single" w:sz="8" w:color="071D49"/>
            </w:tcBorders>
            <w:shd w:val="clear" w:color="auto" w:fill="D9D9D9"/>
          </w:tcPr>
          <w:p>
            <w:pPr>
              <w:ind w:left="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Qualified Stock Options</w:t>
            </w:r>
          </w:p>
        </w:tc>
        <w:tc>
          <w:tcPr>
            <w:tcW w:w="3400" w:type="dxa"/>
            <w:vAlign w:val="bottom"/>
            <w:tcBorders>
              <w:bottom w:val="single" w:sz="8" w:color="071D49"/>
            </w:tcBorders>
            <w:shd w:val="clear" w:color="auto" w:fill="D9D9D9"/>
          </w:tcPr>
          <w:p>
            <w:pPr>
              <w:jc w:val="center"/>
              <w:ind w:left="230"/>
              <w:spacing w:after="0"/>
              <w:rPr>
                <w:sz w:val="20"/>
                <w:szCs w:val="20"/>
                <w:color w:val="auto"/>
              </w:rPr>
            </w:pPr>
            <w:r>
              <w:rPr>
                <w:rFonts w:ascii="Arial" w:cs="Arial" w:eastAsia="Arial" w:hAnsi="Arial"/>
                <w:sz w:val="18"/>
                <w:szCs w:val="18"/>
                <w:color w:val="auto"/>
                <w:w w:val="99"/>
              </w:rPr>
              <w:t>Stock Price Appreciation</w:t>
            </w:r>
          </w:p>
        </w:tc>
        <w:tc>
          <w:tcPr>
            <w:tcW w:w="1860" w:type="dxa"/>
            <w:vAlign w:val="bottom"/>
            <w:tcBorders>
              <w:bottom w:val="single" w:sz="8" w:color="071D49"/>
            </w:tcBorders>
            <w:shd w:val="clear" w:color="auto" w:fill="D9D9D9"/>
          </w:tcPr>
          <w:p>
            <w:pPr>
              <w:jc w:val="center"/>
              <w:ind w:left="3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year term</w:t>
            </w:r>
          </w:p>
        </w:tc>
      </w:tr>
    </w:tbl>
    <w:p>
      <w:pPr>
        <w:spacing w:after="0" w:line="193" w:lineRule="exact"/>
        <w:rPr>
          <w:sz w:val="20"/>
          <w:szCs w:val="20"/>
          <w:color w:val="auto"/>
        </w:rPr>
      </w:pPr>
    </w:p>
    <w:p>
      <w:pPr>
        <w:ind w:left="321" w:right="20" w:hanging="321"/>
        <w:spacing w:after="0" w:line="239" w:lineRule="auto"/>
        <w:tabs>
          <w:tab w:leader="none" w:pos="321" w:val="left"/>
        </w:tabs>
        <w:numPr>
          <w:ilvl w:val="0"/>
          <w:numId w:val="53"/>
        </w:numPr>
        <w:rPr>
          <w:rFonts w:ascii="MS PGothic" w:cs="MS PGothic" w:eastAsia="MS PGothic" w:hAnsi="MS PGothic"/>
          <w:sz w:val="18"/>
          <w:szCs w:val="18"/>
          <w:color w:val="071D49"/>
        </w:rPr>
      </w:pPr>
      <w:r>
        <w:rPr>
          <w:rFonts w:ascii="Arial" w:cs="Arial" w:eastAsia="Arial" w:hAnsi="Arial"/>
          <w:sz w:val="18"/>
          <w:szCs w:val="18"/>
          <w:b w:val="1"/>
          <w:bCs w:val="1"/>
          <w:color w:val="auto"/>
        </w:rPr>
        <w:t>Performance Shares (40% of total LTI award)</w:t>
      </w:r>
      <w:r>
        <w:rPr>
          <w:rFonts w:ascii="Arial" w:cs="Arial" w:eastAsia="Arial" w:hAnsi="Arial"/>
          <w:sz w:val="18"/>
          <w:szCs w:val="18"/>
          <w:color w:val="auto"/>
        </w:rPr>
        <w:t>—These awards have the potential to vest at 0% to 250% of</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after a three-year 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ind w:left="321" w:right="60" w:hanging="321"/>
        <w:spacing w:after="0" w:line="234" w:lineRule="auto"/>
        <w:tabs>
          <w:tab w:leader="none" w:pos="321" w:val="left"/>
        </w:tabs>
        <w:numPr>
          <w:ilvl w:val="0"/>
          <w:numId w:val="53"/>
        </w:numPr>
        <w:rPr>
          <w:rFonts w:ascii="MS PGothic" w:cs="MS PGothic" w:eastAsia="MS PGothic" w:hAnsi="MS PGothic"/>
          <w:sz w:val="18"/>
          <w:szCs w:val="18"/>
          <w:color w:val="071D49"/>
        </w:rPr>
      </w:pPr>
      <w:r>
        <w:rPr>
          <w:rFonts w:ascii="Arial" w:cs="Arial" w:eastAsia="Arial" w:hAnsi="Arial"/>
          <w:sz w:val="18"/>
          <w:szCs w:val="18"/>
          <w:b w:val="1"/>
          <w:bCs w:val="1"/>
          <w:color w:val="auto"/>
        </w:rPr>
        <w:t>Performance-Vested Restricted Stock (40% of total LTI award)</w:t>
      </w:r>
      <w:r>
        <w:rPr>
          <w:rFonts w:ascii="Arial" w:cs="Arial" w:eastAsia="Arial" w:hAnsi="Arial"/>
          <w:sz w:val="18"/>
          <w:szCs w:val="18"/>
          <w:color w:val="auto"/>
        </w:rPr>
        <w:t>—These awards have the potential to vest at</w:t>
      </w:r>
      <w:r>
        <w:rPr>
          <w:rFonts w:ascii="Arial" w:cs="Arial" w:eastAsia="Arial" w:hAnsi="Arial"/>
          <w:sz w:val="18"/>
          <w:szCs w:val="18"/>
          <w:b w:val="1"/>
          <w:bCs w:val="1"/>
          <w:color w:val="auto"/>
        </w:rPr>
        <w:t xml:space="preserve"> </w:t>
      </w:r>
      <w:r>
        <w:rPr>
          <w:rFonts w:ascii="Arial" w:cs="Arial" w:eastAsia="Arial" w:hAnsi="Arial"/>
          <w:sz w:val="18"/>
          <w:szCs w:val="18"/>
          <w:color w:val="auto"/>
        </w:rPr>
        <w:t>0% to 200% of target in one-third increments during a three-year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4" w:lineRule="exact"/>
        <w:rPr>
          <w:rFonts w:ascii="MS PGothic" w:cs="MS PGothic" w:eastAsia="MS PGothic" w:hAnsi="MS PGothic"/>
          <w:sz w:val="18"/>
          <w:szCs w:val="18"/>
          <w:color w:val="071D49"/>
        </w:rPr>
      </w:pPr>
    </w:p>
    <w:p>
      <w:pPr>
        <w:ind w:left="321" w:right="100" w:hanging="321"/>
        <w:spacing w:after="0" w:line="238" w:lineRule="auto"/>
        <w:tabs>
          <w:tab w:leader="none" w:pos="321" w:val="left"/>
        </w:tabs>
        <w:numPr>
          <w:ilvl w:val="0"/>
          <w:numId w:val="53"/>
        </w:numPr>
        <w:rPr>
          <w:rFonts w:ascii="MS PGothic" w:cs="MS PGothic" w:eastAsia="MS PGothic" w:hAnsi="MS PGothic"/>
          <w:sz w:val="18"/>
          <w:szCs w:val="18"/>
          <w:color w:val="071D49"/>
        </w:rPr>
      </w:pPr>
      <w:r>
        <w:rPr>
          <w:rFonts w:ascii="Arial" w:cs="Arial" w:eastAsia="Arial" w:hAnsi="Arial"/>
          <w:sz w:val="18"/>
          <w:szCs w:val="18"/>
          <w:b w:val="1"/>
          <w:bCs w:val="1"/>
          <w:color w:val="auto"/>
        </w:rPr>
        <w:t>Non-Qualified Stock Options (20% of total LTI award)</w:t>
      </w:r>
      <w:r>
        <w:rPr>
          <w:rFonts w:ascii="Arial" w:cs="Arial" w:eastAsia="Arial" w:hAnsi="Arial"/>
          <w:sz w:val="18"/>
          <w:szCs w:val="18"/>
          <w:color w:val="auto"/>
        </w:rPr>
        <w:t>—These awards have the potential to vest in one-third</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increments 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173" w:lineRule="exact"/>
        <w:rPr>
          <w:sz w:val="20"/>
          <w:szCs w:val="20"/>
          <w:color w:val="auto"/>
        </w:rPr>
      </w:pPr>
    </w:p>
    <w:p>
      <w:pPr>
        <w:ind w:left="1" w:right="280"/>
        <w:spacing w:after="0" w:line="261" w:lineRule="auto"/>
        <w:rPr>
          <w:sz w:val="20"/>
          <w:szCs w:val="20"/>
          <w:color w:val="auto"/>
        </w:rPr>
      </w:pPr>
      <w:r>
        <w:rPr>
          <w:rFonts w:ascii="Arial" w:cs="Arial" w:eastAsia="Arial" w:hAnsi="Arial"/>
          <w:sz w:val="22"/>
          <w:szCs w:val="22"/>
          <w:b w:val="1"/>
          <w:bCs w:val="1"/>
          <w:color w:val="071D49"/>
        </w:rPr>
        <w:t>Performance Share and Performance-Vested Restricted Stock Performance Targets and Results</w:t>
      </w:r>
    </w:p>
    <w:p>
      <w:pPr>
        <w:spacing w:after="0" w:line="75" w:lineRule="exact"/>
        <w:rPr>
          <w:sz w:val="20"/>
          <w:szCs w:val="20"/>
          <w:color w:val="auto"/>
        </w:rPr>
      </w:pPr>
    </w:p>
    <w:p>
      <w:pPr>
        <w:ind w:left="1" w:right="100"/>
        <w:spacing w:after="0" w:line="261" w:lineRule="auto"/>
        <w:rPr>
          <w:sz w:val="20"/>
          <w:szCs w:val="20"/>
          <w:color w:val="auto"/>
        </w:rPr>
      </w:pPr>
      <w:r>
        <w:rPr>
          <w:rFonts w:ascii="Arial" w:cs="Arial" w:eastAsia="Arial" w:hAnsi="Arial"/>
          <w:sz w:val="17"/>
          <w:szCs w:val="17"/>
          <w:color w:val="auto"/>
        </w:rPr>
        <w:t>Performance targets and results associated with the 2021 annual grant awards of performance shares and performance-vested restricted stock are shown below. Total stockholder return results are in progress; these results and their impact on final payout will be disclosed following the completion of the three-year performance period.</w:t>
      </w:r>
    </w:p>
    <w:p>
      <w:pPr>
        <w:spacing w:after="0" w:line="180"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000" w:type="dxa"/>
            <w:vAlign w:val="bottom"/>
            <w:tcBorders>
              <w:top w:val="single" w:sz="8" w:color="071D49"/>
              <w:bottom w:val="single" w:sz="8" w:color="071D49"/>
            </w:tcBorders>
          </w:tcPr>
          <w:p>
            <w:pPr>
              <w:ind w:left="100"/>
              <w:spacing w:after="0"/>
              <w:rPr>
                <w:sz w:val="20"/>
                <w:szCs w:val="20"/>
                <w:color w:val="auto"/>
              </w:rPr>
            </w:pPr>
            <w:r>
              <w:rPr>
                <w:rFonts w:ascii="Arial" w:cs="Arial" w:eastAsia="Arial" w:hAnsi="Arial"/>
                <w:sz w:val="14"/>
                <w:szCs w:val="14"/>
                <w:b w:val="1"/>
                <w:bCs w:val="1"/>
                <w:color w:val="071D49"/>
              </w:rPr>
              <w:t>Performance Objective</w:t>
            </w:r>
          </w:p>
        </w:tc>
        <w:tc>
          <w:tcPr>
            <w:tcW w:w="320" w:type="dxa"/>
            <w:vAlign w:val="bottom"/>
            <w:tcBorders>
              <w:top w:val="single" w:sz="8" w:color="071D49"/>
              <w:bottom w:val="single" w:sz="8" w:color="071D49"/>
            </w:tcBorders>
          </w:tcPr>
          <w:p>
            <w:pPr>
              <w:spacing w:after="0"/>
              <w:rPr>
                <w:sz w:val="15"/>
                <w:szCs w:val="15"/>
                <w:color w:val="auto"/>
              </w:rPr>
            </w:pPr>
          </w:p>
        </w:tc>
        <w:tc>
          <w:tcPr>
            <w:tcW w:w="1260" w:type="dxa"/>
            <w:vAlign w:val="bottom"/>
            <w:tcBorders>
              <w:top w:val="single" w:sz="8" w:color="071D49"/>
              <w:bottom w:val="single" w:sz="8" w:color="071D49"/>
            </w:tcBorders>
          </w:tcPr>
          <w:p>
            <w:pPr>
              <w:jc w:val="center"/>
              <w:ind w:right="276"/>
              <w:spacing w:after="0"/>
              <w:rPr>
                <w:sz w:val="20"/>
                <w:szCs w:val="20"/>
                <w:color w:val="auto"/>
              </w:rPr>
            </w:pPr>
            <w:r>
              <w:rPr>
                <w:rFonts w:ascii="Arial" w:cs="Arial" w:eastAsia="Arial" w:hAnsi="Arial"/>
                <w:sz w:val="14"/>
                <w:szCs w:val="14"/>
                <w:b w:val="1"/>
                <w:bCs w:val="1"/>
                <w:color w:val="071D49"/>
              </w:rPr>
              <w:t>Threshold</w:t>
            </w:r>
          </w:p>
        </w:tc>
        <w:tc>
          <w:tcPr>
            <w:tcW w:w="1560" w:type="dxa"/>
            <w:vAlign w:val="bottom"/>
            <w:tcBorders>
              <w:top w:val="single" w:sz="8" w:color="071D49"/>
              <w:bottom w:val="single" w:sz="8" w:color="071D49"/>
            </w:tcBorders>
          </w:tcPr>
          <w:p>
            <w:pPr>
              <w:jc w:val="center"/>
              <w:spacing w:after="0"/>
              <w:rPr>
                <w:sz w:val="20"/>
                <w:szCs w:val="20"/>
                <w:color w:val="auto"/>
              </w:rPr>
            </w:pPr>
            <w:r>
              <w:rPr>
                <w:rFonts w:ascii="Arial" w:cs="Arial" w:eastAsia="Arial" w:hAnsi="Arial"/>
                <w:sz w:val="14"/>
                <w:szCs w:val="14"/>
                <w:b w:val="1"/>
                <w:bCs w:val="1"/>
                <w:color w:val="071D49"/>
              </w:rPr>
              <w:t>Target</w:t>
            </w:r>
          </w:p>
        </w:tc>
        <w:tc>
          <w:tcPr>
            <w:tcW w:w="1400" w:type="dxa"/>
            <w:vAlign w:val="bottom"/>
            <w:tcBorders>
              <w:top w:val="single" w:sz="8" w:color="071D49"/>
              <w:bottom w:val="single" w:sz="8" w:color="071D49"/>
            </w:tcBorders>
          </w:tcPr>
          <w:p>
            <w:pPr>
              <w:jc w:val="center"/>
              <w:spacing w:after="0"/>
              <w:rPr>
                <w:sz w:val="20"/>
                <w:szCs w:val="20"/>
                <w:color w:val="auto"/>
              </w:rPr>
            </w:pPr>
            <w:r>
              <w:rPr>
                <w:rFonts w:ascii="Arial" w:cs="Arial" w:eastAsia="Arial" w:hAnsi="Arial"/>
                <w:sz w:val="14"/>
                <w:szCs w:val="14"/>
                <w:b w:val="1"/>
                <w:bCs w:val="1"/>
                <w:color w:val="071D49"/>
              </w:rPr>
              <w:t>Maximum</w:t>
            </w:r>
          </w:p>
        </w:tc>
        <w:tc>
          <w:tcPr>
            <w:tcW w:w="1260" w:type="dxa"/>
            <w:vAlign w:val="bottom"/>
            <w:tcBorders>
              <w:top w:val="single" w:sz="8" w:color="071D49"/>
              <w:bottom w:val="single" w:sz="8" w:color="071D49"/>
            </w:tcBorders>
          </w:tcPr>
          <w:p>
            <w:pPr>
              <w:jc w:val="center"/>
              <w:spacing w:after="0"/>
              <w:rPr>
                <w:sz w:val="20"/>
                <w:szCs w:val="20"/>
                <w:color w:val="auto"/>
              </w:rPr>
            </w:pPr>
            <w:r>
              <w:rPr>
                <w:rFonts w:ascii="Arial" w:cs="Arial" w:eastAsia="Arial" w:hAnsi="Arial"/>
                <w:sz w:val="14"/>
                <w:szCs w:val="14"/>
                <w:b w:val="1"/>
                <w:bCs w:val="1"/>
                <w:color w:val="071D49"/>
              </w:rPr>
              <w:t>Result</w:t>
            </w:r>
          </w:p>
        </w:tc>
        <w:tc>
          <w:tcPr>
            <w:tcW w:w="1440" w:type="dxa"/>
            <w:vAlign w:val="bottom"/>
            <w:tcBorders>
              <w:top w:val="single" w:sz="8" w:color="071D49"/>
              <w:bottom w:val="single" w:sz="8" w:color="071D49"/>
            </w:tcBorders>
          </w:tcPr>
          <w:p>
            <w:pPr>
              <w:jc w:val="center"/>
              <w:ind w:left="114"/>
              <w:spacing w:after="0"/>
              <w:rPr>
                <w:sz w:val="20"/>
                <w:szCs w:val="20"/>
                <w:color w:val="auto"/>
              </w:rPr>
            </w:pPr>
            <w:r>
              <w:rPr>
                <w:rFonts w:ascii="Arial" w:cs="Arial" w:eastAsia="Arial" w:hAnsi="Arial"/>
                <w:sz w:val="14"/>
                <w:szCs w:val="14"/>
                <w:b w:val="1"/>
                <w:bCs w:val="1"/>
                <w:color w:val="071D49"/>
              </w:rPr>
              <w:t>Impact on Payout</w:t>
            </w:r>
          </w:p>
        </w:tc>
        <w:tc>
          <w:tcPr>
            <w:tcW w:w="0" w:type="dxa"/>
            <w:vAlign w:val="bottom"/>
          </w:tcPr>
          <w:p>
            <w:pPr>
              <w:spacing w:after="0"/>
              <w:rPr>
                <w:sz w:val="1"/>
                <w:szCs w:val="1"/>
                <w:color w:val="auto"/>
              </w:rPr>
            </w:pPr>
          </w:p>
        </w:tc>
      </w:tr>
      <w:tr>
        <w:trPr>
          <w:trHeight w:val="195"/>
        </w:trPr>
        <w:tc>
          <w:tcPr>
            <w:tcW w:w="2000" w:type="dxa"/>
            <w:vAlign w:val="bottom"/>
            <w:shd w:val="clear" w:color="auto" w:fill="D9D9D9"/>
          </w:tcPr>
          <w:p>
            <w:pPr>
              <w:ind w:left="100"/>
              <w:spacing w:after="0" w:line="195" w:lineRule="exact"/>
              <w:rPr>
                <w:sz w:val="20"/>
                <w:szCs w:val="20"/>
                <w:color w:val="auto"/>
              </w:rPr>
            </w:pPr>
            <w:r>
              <w:rPr>
                <w:rFonts w:ascii="Arial" w:cs="Arial" w:eastAsia="Arial" w:hAnsi="Arial"/>
                <w:sz w:val="18"/>
                <w:szCs w:val="18"/>
                <w:color w:val="auto"/>
              </w:rPr>
              <w:t>Adjusted Diluted</w:t>
            </w:r>
          </w:p>
        </w:tc>
        <w:tc>
          <w:tcPr>
            <w:tcW w:w="1580" w:type="dxa"/>
            <w:vAlign w:val="bottom"/>
            <w:gridSpan w:val="2"/>
            <w:vMerge w:val="restart"/>
            <w:shd w:val="clear" w:color="auto" w:fill="D9D9D9"/>
          </w:tcPr>
          <w:p>
            <w:pPr>
              <w:jc w:val="center"/>
              <w:spacing w:after="0"/>
              <w:rPr>
                <w:sz w:val="20"/>
                <w:szCs w:val="20"/>
                <w:color w:val="auto"/>
              </w:rPr>
            </w:pPr>
            <w:r>
              <w:rPr>
                <w:rFonts w:ascii="Arial" w:cs="Arial" w:eastAsia="Arial" w:hAnsi="Arial"/>
                <w:sz w:val="18"/>
                <w:szCs w:val="18"/>
                <w:color w:val="auto"/>
                <w:w w:val="98"/>
              </w:rPr>
              <w:t>$12.37</w:t>
            </w:r>
          </w:p>
        </w:tc>
        <w:tc>
          <w:tcPr>
            <w:tcW w:w="15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$12.42</w:t>
            </w:r>
          </w:p>
        </w:tc>
        <w:tc>
          <w:tcPr>
            <w:tcW w:w="140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8"/>
              </w:rPr>
              <w:t>$12.62</w:t>
            </w:r>
          </w:p>
        </w:tc>
        <w:tc>
          <w:tcPr>
            <w:tcW w:w="12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rPr>
              <w:t>$12.70</w:t>
            </w:r>
          </w:p>
        </w:tc>
        <w:tc>
          <w:tcPr>
            <w:tcW w:w="1440" w:type="dxa"/>
            <w:vAlign w:val="bottom"/>
            <w:vMerge w:val="restart"/>
            <w:shd w:val="clear" w:color="auto" w:fill="D9D9D9"/>
          </w:tcPr>
          <w:p>
            <w:pPr>
              <w:jc w:val="center"/>
              <w:ind w:left="94"/>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09"/>
        </w:trPr>
        <w:tc>
          <w:tcPr>
            <w:tcW w:w="2000" w:type="dxa"/>
            <w:vAlign w:val="bottom"/>
            <w:vMerge w:val="restart"/>
            <w:shd w:val="clear" w:color="auto" w:fill="D9D9D9"/>
          </w:tcPr>
          <w:p>
            <w:pPr>
              <w:ind w:left="100"/>
              <w:spacing w:after="0" w:line="203" w:lineRule="exact"/>
              <w:rPr>
                <w:sz w:val="20"/>
                <w:szCs w:val="20"/>
                <w:color w:val="auto"/>
              </w:rPr>
            </w:pPr>
            <w:r>
              <w:rPr>
                <w:rFonts w:ascii="Arial" w:cs="Arial" w:eastAsia="Arial" w:hAnsi="Arial"/>
                <w:sz w:val="23"/>
                <w:szCs w:val="23"/>
                <w:color w:val="auto"/>
                <w:vertAlign w:val="subscript"/>
              </w:rPr>
              <w:t>EPS</w:t>
            </w:r>
            <w:r>
              <w:rPr>
                <w:rFonts w:ascii="Arial" w:cs="Arial" w:eastAsia="Arial" w:hAnsi="Arial"/>
                <w:sz w:val="11"/>
                <w:szCs w:val="11"/>
                <w:color w:val="auto"/>
              </w:rPr>
              <w:t>(1)</w:t>
            </w:r>
          </w:p>
        </w:tc>
        <w:tc>
          <w:tcPr>
            <w:tcW w:w="1580" w:type="dxa"/>
            <w:vAlign w:val="bottom"/>
            <w:gridSpan w:val="2"/>
            <w:vMerge w:val="continue"/>
            <w:shd w:val="clear" w:color="auto" w:fill="D9D9D9"/>
          </w:tcPr>
          <w:p>
            <w:pPr>
              <w:spacing w:after="0"/>
              <w:rPr>
                <w:sz w:val="9"/>
                <w:szCs w:val="9"/>
                <w:color w:val="auto"/>
              </w:rPr>
            </w:pPr>
          </w:p>
        </w:tc>
        <w:tc>
          <w:tcPr>
            <w:tcW w:w="1560" w:type="dxa"/>
            <w:vAlign w:val="bottom"/>
            <w:vMerge w:val="continue"/>
            <w:shd w:val="clear" w:color="auto" w:fill="D9D9D9"/>
          </w:tcPr>
          <w:p>
            <w:pPr>
              <w:spacing w:after="0"/>
              <w:rPr>
                <w:sz w:val="9"/>
                <w:szCs w:val="9"/>
                <w:color w:val="auto"/>
              </w:rPr>
            </w:pPr>
          </w:p>
        </w:tc>
        <w:tc>
          <w:tcPr>
            <w:tcW w:w="1400" w:type="dxa"/>
            <w:vAlign w:val="bottom"/>
            <w:vMerge w:val="continue"/>
            <w:shd w:val="clear" w:color="auto" w:fill="D9D9D9"/>
          </w:tcPr>
          <w:p>
            <w:pPr>
              <w:spacing w:after="0"/>
              <w:rPr>
                <w:sz w:val="9"/>
                <w:szCs w:val="9"/>
                <w:color w:val="auto"/>
              </w:rPr>
            </w:pPr>
          </w:p>
        </w:tc>
        <w:tc>
          <w:tcPr>
            <w:tcW w:w="1260" w:type="dxa"/>
            <w:vAlign w:val="bottom"/>
            <w:vMerge w:val="continue"/>
            <w:shd w:val="clear" w:color="auto" w:fill="D9D9D9"/>
          </w:tcPr>
          <w:p>
            <w:pPr>
              <w:spacing w:after="0"/>
              <w:rPr>
                <w:sz w:val="9"/>
                <w:szCs w:val="9"/>
                <w:color w:val="auto"/>
              </w:rPr>
            </w:pPr>
          </w:p>
        </w:tc>
        <w:tc>
          <w:tcPr>
            <w:tcW w:w="144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c>
          <w:tcPr>
            <w:tcW w:w="1260" w:type="dxa"/>
            <w:vAlign w:val="bottom"/>
            <w:shd w:val="clear" w:color="auto" w:fill="D9D9D9"/>
          </w:tcPr>
          <w:p>
            <w:pPr>
              <w:spacing w:after="0"/>
              <w:rPr>
                <w:sz w:val="8"/>
                <w:szCs w:val="8"/>
                <w:color w:val="auto"/>
              </w:rPr>
            </w:pPr>
          </w:p>
        </w:tc>
        <w:tc>
          <w:tcPr>
            <w:tcW w:w="1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260" w:type="dxa"/>
            <w:vAlign w:val="bottom"/>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00"/>
              <w:spacing w:after="0"/>
              <w:rPr>
                <w:sz w:val="20"/>
                <w:szCs w:val="20"/>
                <w:color w:val="auto"/>
              </w:rPr>
            </w:pPr>
            <w:r>
              <w:rPr>
                <w:rFonts w:ascii="Arial" w:cs="Arial" w:eastAsia="Arial" w:hAnsi="Arial"/>
                <w:sz w:val="18"/>
                <w:szCs w:val="18"/>
                <w:color w:val="auto"/>
              </w:rPr>
              <w:t>Relative TSR</w:t>
            </w:r>
          </w:p>
        </w:tc>
        <w:tc>
          <w:tcPr>
            <w:tcW w:w="7240" w:type="dxa"/>
            <w:vAlign w:val="bottom"/>
            <w:gridSpan w:val="6"/>
          </w:tcPr>
          <w:p>
            <w:pPr>
              <w:ind w:left="320"/>
              <w:spacing w:after="0" w:line="207" w:lineRule="exact"/>
              <w:rPr>
                <w:sz w:val="20"/>
                <w:szCs w:val="20"/>
                <w:color w:val="auto"/>
              </w:rPr>
            </w:pPr>
            <w:r>
              <w:rPr>
                <w:rFonts w:ascii="Arial" w:cs="Arial" w:eastAsia="Arial" w:hAnsi="Arial"/>
                <w:sz w:val="18"/>
                <w:szCs w:val="18"/>
                <w:color w:val="auto"/>
              </w:rPr>
              <w:t>Relative TSR is measured over a 3</w:t>
            </w:r>
            <w:r>
              <w:rPr>
                <w:rFonts w:ascii="MS PGothic" w:cs="MS PGothic" w:eastAsia="MS PGothic" w:hAnsi="MS PGothic"/>
                <w:sz w:val="18"/>
                <w:szCs w:val="18"/>
                <w:color w:val="auto"/>
              </w:rPr>
              <w:t>‑</w:t>
            </w:r>
            <w:r>
              <w:rPr>
                <w:rFonts w:ascii="Arial" w:cs="Arial" w:eastAsia="Arial" w:hAnsi="Arial"/>
                <w:sz w:val="18"/>
                <w:szCs w:val="18"/>
                <w:color w:val="auto"/>
              </w:rPr>
              <w:t>year performance period and used as a modifier</w:t>
            </w:r>
          </w:p>
        </w:tc>
        <w:tc>
          <w:tcPr>
            <w:tcW w:w="0" w:type="dxa"/>
            <w:vAlign w:val="bottom"/>
          </w:tcPr>
          <w:p>
            <w:pPr>
              <w:spacing w:after="0"/>
              <w:rPr>
                <w:sz w:val="1"/>
                <w:szCs w:val="1"/>
                <w:color w:val="auto"/>
              </w:rPr>
            </w:pPr>
          </w:p>
        </w:tc>
      </w:tr>
      <w:tr>
        <w:trPr>
          <w:trHeight w:val="202"/>
        </w:trPr>
        <w:tc>
          <w:tcPr>
            <w:tcW w:w="2000" w:type="dxa"/>
            <w:vAlign w:val="bottom"/>
            <w:shd w:val="clear" w:color="auto" w:fill="D9D9D9"/>
          </w:tcPr>
          <w:p>
            <w:pPr>
              <w:ind w:left="100"/>
              <w:spacing w:after="0" w:line="201" w:lineRule="exact"/>
              <w:rPr>
                <w:sz w:val="20"/>
                <w:szCs w:val="20"/>
                <w:color w:val="auto"/>
              </w:rPr>
            </w:pPr>
            <w:r>
              <w:rPr>
                <w:rFonts w:ascii="Arial" w:cs="Arial" w:eastAsia="Arial" w:hAnsi="Arial"/>
                <w:sz w:val="18"/>
                <w:szCs w:val="18"/>
                <w:color w:val="auto"/>
              </w:rPr>
              <w:t>Relative ROIC</w:t>
            </w:r>
          </w:p>
        </w:tc>
        <w:tc>
          <w:tcPr>
            <w:tcW w:w="320" w:type="dxa"/>
            <w:vAlign w:val="bottom"/>
            <w:shd w:val="clear" w:color="auto" w:fill="D9D9D9"/>
          </w:tcPr>
          <w:p>
            <w:pPr>
              <w:spacing w:after="0"/>
              <w:rPr>
                <w:sz w:val="17"/>
                <w:szCs w:val="17"/>
                <w:color w:val="auto"/>
              </w:rPr>
            </w:pPr>
          </w:p>
        </w:tc>
        <w:tc>
          <w:tcPr>
            <w:tcW w:w="1260" w:type="dxa"/>
            <w:vAlign w:val="bottom"/>
            <w:shd w:val="clear" w:color="auto" w:fill="D9D9D9"/>
          </w:tcPr>
          <w:p>
            <w:pPr>
              <w:jc w:val="center"/>
              <w:ind w:right="276"/>
              <w:spacing w:after="0" w:line="201" w:lineRule="exact"/>
              <w:rPr>
                <w:sz w:val="20"/>
                <w:szCs w:val="20"/>
                <w:color w:val="auto"/>
              </w:rPr>
            </w:pPr>
            <w:r>
              <w:rPr>
                <w:rFonts w:ascii="Arial" w:cs="Arial" w:eastAsia="Arial" w:hAnsi="Arial"/>
                <w:sz w:val="16"/>
                <w:szCs w:val="16"/>
                <w:color w:val="auto"/>
              </w:rPr>
              <w:t>40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50</w:t>
            </w:r>
            <w:r>
              <w:rPr>
                <w:rFonts w:ascii="Arial" w:cs="Arial" w:eastAsia="Arial" w:hAnsi="Arial"/>
                <w:sz w:val="23"/>
                <w:szCs w:val="23"/>
                <w:color w:val="auto"/>
                <w:vertAlign w:val="superscript"/>
              </w:rPr>
              <w:t>th</w:t>
            </w:r>
          </w:p>
        </w:tc>
        <w:tc>
          <w:tcPr>
            <w:tcW w:w="156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65</w:t>
            </w:r>
            <w:r>
              <w:rPr>
                <w:rFonts w:ascii="Arial" w:cs="Arial" w:eastAsia="Arial" w:hAnsi="Arial"/>
                <w:sz w:val="23"/>
                <w:szCs w:val="23"/>
                <w:color w:val="auto"/>
                <w:vertAlign w:val="superscript"/>
              </w:rPr>
              <w:t>th</w:t>
            </w:r>
          </w:p>
        </w:tc>
        <w:tc>
          <w:tcPr>
            <w:tcW w:w="140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&gt;85</w:t>
            </w:r>
            <w:r>
              <w:rPr>
                <w:rFonts w:ascii="Arial" w:cs="Arial" w:eastAsia="Arial" w:hAnsi="Arial"/>
                <w:sz w:val="23"/>
                <w:szCs w:val="23"/>
                <w:color w:val="auto"/>
                <w:vertAlign w:val="superscript"/>
              </w:rPr>
              <w:t>th</w:t>
            </w:r>
          </w:p>
        </w:tc>
        <w:tc>
          <w:tcPr>
            <w:tcW w:w="126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80</w:t>
            </w:r>
            <w:r>
              <w:rPr>
                <w:rFonts w:ascii="Arial" w:cs="Arial" w:eastAsia="Arial" w:hAnsi="Arial"/>
                <w:sz w:val="23"/>
                <w:szCs w:val="23"/>
                <w:color w:val="auto"/>
                <w:vertAlign w:val="superscript"/>
              </w:rPr>
              <w:t>th</w:t>
            </w:r>
          </w:p>
        </w:tc>
        <w:tc>
          <w:tcPr>
            <w:tcW w:w="1440" w:type="dxa"/>
            <w:vAlign w:val="bottom"/>
            <w:vMerge w:val="restart"/>
            <w:shd w:val="clear" w:color="auto" w:fill="D9D9D9"/>
          </w:tcPr>
          <w:p>
            <w:pPr>
              <w:jc w:val="center"/>
              <w:ind w:left="94"/>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22"/>
        </w:trPr>
        <w:tc>
          <w:tcPr>
            <w:tcW w:w="2000" w:type="dxa"/>
            <w:vAlign w:val="bottom"/>
            <w:vMerge w:val="restart"/>
            <w:shd w:val="clear" w:color="auto" w:fill="D9D9D9"/>
          </w:tcPr>
          <w:p>
            <w:pPr>
              <w:ind w:left="100"/>
              <w:spacing w:after="0"/>
              <w:rPr>
                <w:sz w:val="20"/>
                <w:szCs w:val="20"/>
                <w:color w:val="auto"/>
              </w:rPr>
            </w:pPr>
            <w:r>
              <w:rPr>
                <w:rFonts w:ascii="Arial" w:cs="Arial" w:eastAsia="Arial" w:hAnsi="Arial"/>
                <w:sz w:val="18"/>
                <w:szCs w:val="18"/>
                <w:color w:val="auto"/>
              </w:rPr>
              <w:t>(2021 Award)</w:t>
            </w:r>
          </w:p>
        </w:tc>
        <w:tc>
          <w:tcPr>
            <w:tcW w:w="320" w:type="dxa"/>
            <w:vAlign w:val="bottom"/>
            <w:shd w:val="clear" w:color="auto" w:fill="D9D9D9"/>
          </w:tcPr>
          <w:p>
            <w:pPr>
              <w:spacing w:after="0"/>
              <w:rPr>
                <w:sz w:val="10"/>
                <w:szCs w:val="10"/>
                <w:color w:val="auto"/>
              </w:rPr>
            </w:pPr>
          </w:p>
        </w:tc>
        <w:tc>
          <w:tcPr>
            <w:tcW w:w="1260" w:type="dxa"/>
            <w:vAlign w:val="bottom"/>
            <w:vMerge w:val="restart"/>
            <w:shd w:val="clear" w:color="auto" w:fill="D9D9D9"/>
          </w:tcPr>
          <w:p>
            <w:pPr>
              <w:jc w:val="center"/>
              <w:ind w:right="276"/>
              <w:spacing w:after="0"/>
              <w:rPr>
                <w:sz w:val="20"/>
                <w:szCs w:val="20"/>
                <w:color w:val="auto"/>
              </w:rPr>
            </w:pPr>
            <w:r>
              <w:rPr>
                <w:rFonts w:ascii="Arial" w:cs="Arial" w:eastAsia="Arial" w:hAnsi="Arial"/>
                <w:sz w:val="18"/>
                <w:szCs w:val="18"/>
                <w:color w:val="auto"/>
                <w:w w:val="99"/>
              </w:rPr>
              <w:t>percentile</w:t>
            </w:r>
          </w:p>
        </w:tc>
        <w:tc>
          <w:tcPr>
            <w:tcW w:w="15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40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2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44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c>
          <w:tcPr>
            <w:tcW w:w="1260" w:type="dxa"/>
            <w:vAlign w:val="bottom"/>
            <w:vMerge w:val="continue"/>
            <w:shd w:val="clear" w:color="auto" w:fill="D9D9D9"/>
          </w:tcPr>
          <w:p>
            <w:pPr>
              <w:spacing w:after="0"/>
              <w:rPr>
                <w:sz w:val="8"/>
                <w:szCs w:val="8"/>
                <w:color w:val="auto"/>
              </w:rPr>
            </w:pPr>
          </w:p>
        </w:tc>
        <w:tc>
          <w:tcPr>
            <w:tcW w:w="1560" w:type="dxa"/>
            <w:vAlign w:val="bottom"/>
            <w:vMerge w:val="continue"/>
            <w:shd w:val="clear" w:color="auto" w:fill="D9D9D9"/>
          </w:tcPr>
          <w:p>
            <w:pPr>
              <w:spacing w:after="0"/>
              <w:rPr>
                <w:sz w:val="8"/>
                <w:szCs w:val="8"/>
                <w:color w:val="auto"/>
              </w:rPr>
            </w:pPr>
          </w:p>
        </w:tc>
        <w:tc>
          <w:tcPr>
            <w:tcW w:w="1400" w:type="dxa"/>
            <w:vAlign w:val="bottom"/>
            <w:vMerge w:val="continue"/>
            <w:shd w:val="clear" w:color="auto" w:fill="D9D9D9"/>
          </w:tcPr>
          <w:p>
            <w:pPr>
              <w:spacing w:after="0"/>
              <w:rPr>
                <w:sz w:val="8"/>
                <w:szCs w:val="8"/>
                <w:color w:val="auto"/>
              </w:rPr>
            </w:pPr>
          </w:p>
        </w:tc>
        <w:tc>
          <w:tcPr>
            <w:tcW w:w="1260" w:type="dxa"/>
            <w:vAlign w:val="bottom"/>
            <w:vMerge w:val="continue"/>
            <w:shd w:val="clear" w:color="auto" w:fill="D9D9D9"/>
          </w:tcPr>
          <w:p>
            <w:pPr>
              <w:spacing w:after="0"/>
              <w:rPr>
                <w:sz w:val="8"/>
                <w:szCs w:val="8"/>
                <w:color w:val="auto"/>
              </w:rPr>
            </w:pPr>
          </w:p>
        </w:tc>
        <w:tc>
          <w:tcPr>
            <w:tcW w:w="144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100"/>
              <w:spacing w:after="0" w:line="201" w:lineRule="exact"/>
              <w:rPr>
                <w:sz w:val="20"/>
                <w:szCs w:val="20"/>
                <w:color w:val="auto"/>
              </w:rPr>
            </w:pPr>
            <w:r>
              <w:rPr>
                <w:rFonts w:ascii="Arial" w:cs="Arial" w:eastAsia="Arial" w:hAnsi="Arial"/>
                <w:sz w:val="18"/>
                <w:szCs w:val="18"/>
                <w:color w:val="auto"/>
              </w:rPr>
              <w:t>Relative ROIC</w:t>
            </w:r>
          </w:p>
        </w:tc>
        <w:tc>
          <w:tcPr>
            <w:tcW w:w="320" w:type="dxa"/>
            <w:vAlign w:val="bottom"/>
          </w:tcPr>
          <w:p>
            <w:pPr>
              <w:spacing w:after="0"/>
              <w:rPr>
                <w:sz w:val="17"/>
                <w:szCs w:val="17"/>
                <w:color w:val="auto"/>
              </w:rPr>
            </w:pPr>
          </w:p>
        </w:tc>
        <w:tc>
          <w:tcPr>
            <w:tcW w:w="1260" w:type="dxa"/>
            <w:vAlign w:val="bottom"/>
          </w:tcPr>
          <w:p>
            <w:pPr>
              <w:jc w:val="center"/>
              <w:ind w:right="276"/>
              <w:spacing w:after="0" w:line="201" w:lineRule="exact"/>
              <w:rPr>
                <w:sz w:val="20"/>
                <w:szCs w:val="20"/>
                <w:color w:val="auto"/>
              </w:rPr>
            </w:pPr>
            <w:r>
              <w:rPr>
                <w:rFonts w:ascii="Arial" w:cs="Arial" w:eastAsia="Arial" w:hAnsi="Arial"/>
                <w:sz w:val="16"/>
                <w:szCs w:val="16"/>
                <w:color w:val="auto"/>
              </w:rPr>
              <w:t>40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50</w:t>
            </w:r>
            <w:r>
              <w:rPr>
                <w:rFonts w:ascii="Arial" w:cs="Arial" w:eastAsia="Arial" w:hAnsi="Arial"/>
                <w:sz w:val="23"/>
                <w:szCs w:val="23"/>
                <w:color w:val="auto"/>
                <w:vertAlign w:val="superscript"/>
              </w:rPr>
              <w:t>th</w:t>
            </w:r>
          </w:p>
        </w:tc>
        <w:tc>
          <w:tcPr>
            <w:tcW w:w="1560" w:type="dxa"/>
            <w:vAlign w:val="bottom"/>
          </w:tcPr>
          <w:p>
            <w:pPr>
              <w:jc w:val="center"/>
              <w:spacing w:after="0" w:line="201" w:lineRule="exact"/>
              <w:rPr>
                <w:sz w:val="20"/>
                <w:szCs w:val="20"/>
                <w:color w:val="auto"/>
              </w:rPr>
            </w:pPr>
            <w:r>
              <w:rPr>
                <w:rFonts w:ascii="Arial" w:cs="Arial" w:eastAsia="Arial" w:hAnsi="Arial"/>
                <w:sz w:val="16"/>
                <w:szCs w:val="16"/>
                <w:color w:val="auto"/>
              </w:rPr>
              <w:t>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65</w:t>
            </w:r>
            <w:r>
              <w:rPr>
                <w:rFonts w:ascii="Arial" w:cs="Arial" w:eastAsia="Arial" w:hAnsi="Arial"/>
                <w:sz w:val="23"/>
                <w:szCs w:val="23"/>
                <w:color w:val="auto"/>
                <w:vertAlign w:val="superscript"/>
              </w:rPr>
              <w:t>th</w:t>
            </w:r>
          </w:p>
        </w:tc>
        <w:tc>
          <w:tcPr>
            <w:tcW w:w="1400" w:type="dxa"/>
            <w:vAlign w:val="bottom"/>
          </w:tcPr>
          <w:p>
            <w:pPr>
              <w:jc w:val="center"/>
              <w:spacing w:after="0" w:line="201" w:lineRule="exact"/>
              <w:rPr>
                <w:sz w:val="20"/>
                <w:szCs w:val="20"/>
                <w:color w:val="auto"/>
              </w:rPr>
            </w:pPr>
            <w:r>
              <w:rPr>
                <w:rFonts w:ascii="Arial" w:cs="Arial" w:eastAsia="Arial" w:hAnsi="Arial"/>
                <w:sz w:val="16"/>
                <w:szCs w:val="16"/>
                <w:color w:val="auto"/>
              </w:rPr>
              <w:t>&gt;85</w:t>
            </w:r>
            <w:r>
              <w:rPr>
                <w:rFonts w:ascii="Arial" w:cs="Arial" w:eastAsia="Arial" w:hAnsi="Arial"/>
                <w:sz w:val="23"/>
                <w:szCs w:val="23"/>
                <w:color w:val="auto"/>
                <w:vertAlign w:val="superscript"/>
              </w:rPr>
              <w:t>th</w:t>
            </w:r>
          </w:p>
        </w:tc>
        <w:tc>
          <w:tcPr>
            <w:tcW w:w="1260" w:type="dxa"/>
            <w:vAlign w:val="bottom"/>
          </w:tcPr>
          <w:p>
            <w:pPr>
              <w:jc w:val="center"/>
              <w:spacing w:after="0" w:line="201" w:lineRule="exact"/>
              <w:rPr>
                <w:sz w:val="20"/>
                <w:szCs w:val="20"/>
                <w:color w:val="auto"/>
              </w:rPr>
            </w:pPr>
            <w:r>
              <w:rPr>
                <w:rFonts w:ascii="Arial" w:cs="Arial" w:eastAsia="Arial" w:hAnsi="Arial"/>
                <w:sz w:val="16"/>
                <w:szCs w:val="16"/>
                <w:color w:val="auto"/>
              </w:rPr>
              <w:t>79</w:t>
            </w:r>
            <w:r>
              <w:rPr>
                <w:rFonts w:ascii="Arial" w:cs="Arial" w:eastAsia="Arial" w:hAnsi="Arial"/>
                <w:sz w:val="23"/>
                <w:szCs w:val="23"/>
                <w:color w:val="auto"/>
                <w:vertAlign w:val="superscript"/>
              </w:rPr>
              <w:t>th</w:t>
            </w:r>
          </w:p>
        </w:tc>
        <w:tc>
          <w:tcPr>
            <w:tcW w:w="1440" w:type="dxa"/>
            <w:vAlign w:val="bottom"/>
            <w:vMerge w:val="restart"/>
          </w:tcPr>
          <w:p>
            <w:pPr>
              <w:jc w:val="center"/>
              <w:ind w:left="94"/>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22"/>
        </w:trPr>
        <w:tc>
          <w:tcPr>
            <w:tcW w:w="2000" w:type="dxa"/>
            <w:vAlign w:val="bottom"/>
            <w:vMerge w:val="restart"/>
          </w:tcPr>
          <w:p>
            <w:pPr>
              <w:ind w:left="100"/>
              <w:spacing w:after="0"/>
              <w:rPr>
                <w:sz w:val="20"/>
                <w:szCs w:val="20"/>
                <w:color w:val="auto"/>
              </w:rPr>
            </w:pPr>
            <w:r>
              <w:rPr>
                <w:rFonts w:ascii="Arial" w:cs="Arial" w:eastAsia="Arial" w:hAnsi="Arial"/>
                <w:sz w:val="18"/>
                <w:szCs w:val="18"/>
                <w:color w:val="auto"/>
              </w:rPr>
              <w:t>(2020 Award)</w:t>
            </w:r>
          </w:p>
        </w:tc>
        <w:tc>
          <w:tcPr>
            <w:tcW w:w="320" w:type="dxa"/>
            <w:vAlign w:val="bottom"/>
          </w:tcPr>
          <w:p>
            <w:pPr>
              <w:spacing w:after="0"/>
              <w:rPr>
                <w:sz w:val="10"/>
                <w:szCs w:val="10"/>
                <w:color w:val="auto"/>
              </w:rPr>
            </w:pPr>
          </w:p>
        </w:tc>
        <w:tc>
          <w:tcPr>
            <w:tcW w:w="1260" w:type="dxa"/>
            <w:vAlign w:val="bottom"/>
            <w:vMerge w:val="restart"/>
          </w:tcPr>
          <w:p>
            <w:pPr>
              <w:jc w:val="center"/>
              <w:ind w:right="276"/>
              <w:spacing w:after="0"/>
              <w:rPr>
                <w:sz w:val="20"/>
                <w:szCs w:val="20"/>
                <w:color w:val="auto"/>
              </w:rPr>
            </w:pPr>
            <w:r>
              <w:rPr>
                <w:rFonts w:ascii="Arial" w:cs="Arial" w:eastAsia="Arial" w:hAnsi="Arial"/>
                <w:sz w:val="18"/>
                <w:szCs w:val="18"/>
                <w:color w:val="auto"/>
                <w:w w:val="99"/>
              </w:rPr>
              <w:t>percentile</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9"/>
              </w:rPr>
              <w:t>percentile</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percentile</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percentile</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D9D9D9"/>
          </w:tcPr>
          <w:p>
            <w:pPr>
              <w:ind w:left="100"/>
              <w:spacing w:after="0" w:line="201" w:lineRule="exact"/>
              <w:rPr>
                <w:sz w:val="20"/>
                <w:szCs w:val="20"/>
                <w:color w:val="auto"/>
              </w:rPr>
            </w:pPr>
            <w:r>
              <w:rPr>
                <w:rFonts w:ascii="Arial" w:cs="Arial" w:eastAsia="Arial" w:hAnsi="Arial"/>
                <w:sz w:val="18"/>
                <w:szCs w:val="18"/>
                <w:color w:val="auto"/>
              </w:rPr>
              <w:t>Relative ROE</w:t>
            </w:r>
          </w:p>
        </w:tc>
        <w:tc>
          <w:tcPr>
            <w:tcW w:w="320" w:type="dxa"/>
            <w:vAlign w:val="bottom"/>
            <w:shd w:val="clear" w:color="auto" w:fill="D9D9D9"/>
          </w:tcPr>
          <w:p>
            <w:pPr>
              <w:spacing w:after="0"/>
              <w:rPr>
                <w:sz w:val="17"/>
                <w:szCs w:val="17"/>
                <w:color w:val="auto"/>
              </w:rPr>
            </w:pPr>
          </w:p>
        </w:tc>
        <w:tc>
          <w:tcPr>
            <w:tcW w:w="1260" w:type="dxa"/>
            <w:vAlign w:val="bottom"/>
            <w:shd w:val="clear" w:color="auto" w:fill="D9D9D9"/>
          </w:tcPr>
          <w:p>
            <w:pPr>
              <w:jc w:val="center"/>
              <w:ind w:right="276"/>
              <w:spacing w:after="0" w:line="201" w:lineRule="exact"/>
              <w:rPr>
                <w:sz w:val="20"/>
                <w:szCs w:val="20"/>
                <w:color w:val="auto"/>
              </w:rPr>
            </w:pPr>
            <w:r>
              <w:rPr>
                <w:rFonts w:ascii="Arial" w:cs="Arial" w:eastAsia="Arial" w:hAnsi="Arial"/>
                <w:sz w:val="16"/>
                <w:szCs w:val="16"/>
                <w:color w:val="auto"/>
              </w:rPr>
              <w:t>50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75</w:t>
            </w:r>
            <w:r>
              <w:rPr>
                <w:rFonts w:ascii="Arial" w:cs="Arial" w:eastAsia="Arial" w:hAnsi="Arial"/>
                <w:sz w:val="23"/>
                <w:szCs w:val="23"/>
                <w:color w:val="auto"/>
                <w:vertAlign w:val="superscript"/>
              </w:rPr>
              <w:t>th</w:t>
            </w:r>
          </w:p>
        </w:tc>
        <w:tc>
          <w:tcPr>
            <w:tcW w:w="156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90</w:t>
            </w:r>
            <w:r>
              <w:rPr>
                <w:rFonts w:ascii="Arial" w:cs="Arial" w:eastAsia="Arial" w:hAnsi="Arial"/>
                <w:sz w:val="23"/>
                <w:szCs w:val="23"/>
                <w:color w:val="auto"/>
                <w:vertAlign w:val="superscript"/>
              </w:rPr>
              <w:t>th</w:t>
            </w:r>
          </w:p>
        </w:tc>
        <w:tc>
          <w:tcPr>
            <w:tcW w:w="140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&gt;90</w:t>
            </w:r>
            <w:r>
              <w:rPr>
                <w:rFonts w:ascii="Arial" w:cs="Arial" w:eastAsia="Arial" w:hAnsi="Arial"/>
                <w:sz w:val="23"/>
                <w:szCs w:val="23"/>
                <w:color w:val="auto"/>
                <w:vertAlign w:val="superscript"/>
              </w:rPr>
              <w:t>th</w:t>
            </w:r>
          </w:p>
        </w:tc>
        <w:tc>
          <w:tcPr>
            <w:tcW w:w="1260" w:type="dxa"/>
            <w:vAlign w:val="bottom"/>
            <w:shd w:val="clear" w:color="auto" w:fill="D9D9D9"/>
          </w:tcPr>
          <w:p>
            <w:pPr>
              <w:jc w:val="center"/>
              <w:spacing w:after="0" w:line="201" w:lineRule="exact"/>
              <w:rPr>
                <w:sz w:val="20"/>
                <w:szCs w:val="20"/>
                <w:color w:val="auto"/>
              </w:rPr>
            </w:pPr>
            <w:r>
              <w:rPr>
                <w:rFonts w:ascii="Arial" w:cs="Arial" w:eastAsia="Arial" w:hAnsi="Arial"/>
                <w:sz w:val="16"/>
                <w:szCs w:val="16"/>
                <w:color w:val="auto"/>
              </w:rPr>
              <w:t>&gt;90</w:t>
            </w:r>
            <w:r>
              <w:rPr>
                <w:rFonts w:ascii="Arial" w:cs="Arial" w:eastAsia="Arial" w:hAnsi="Arial"/>
                <w:sz w:val="23"/>
                <w:szCs w:val="23"/>
                <w:color w:val="auto"/>
                <w:vertAlign w:val="superscript"/>
              </w:rPr>
              <w:t>th</w:t>
            </w:r>
          </w:p>
        </w:tc>
        <w:tc>
          <w:tcPr>
            <w:tcW w:w="1440" w:type="dxa"/>
            <w:vAlign w:val="bottom"/>
            <w:vMerge w:val="restart"/>
            <w:shd w:val="clear" w:color="auto" w:fill="D9D9D9"/>
          </w:tcPr>
          <w:p>
            <w:pPr>
              <w:jc w:val="center"/>
              <w:ind w:left="94"/>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22"/>
        </w:trPr>
        <w:tc>
          <w:tcPr>
            <w:tcW w:w="2000" w:type="dxa"/>
            <w:vAlign w:val="bottom"/>
            <w:vMerge w:val="restart"/>
            <w:shd w:val="clear" w:color="auto" w:fill="D9D9D9"/>
          </w:tcPr>
          <w:p>
            <w:pPr>
              <w:ind w:left="100"/>
              <w:spacing w:after="0"/>
              <w:rPr>
                <w:sz w:val="20"/>
                <w:szCs w:val="20"/>
                <w:color w:val="auto"/>
              </w:rPr>
            </w:pPr>
            <w:r>
              <w:rPr>
                <w:rFonts w:ascii="Arial" w:cs="Arial" w:eastAsia="Arial" w:hAnsi="Arial"/>
                <w:sz w:val="18"/>
                <w:szCs w:val="18"/>
                <w:color w:val="auto"/>
              </w:rPr>
              <w:t>(2019 Award)</w:t>
            </w:r>
          </w:p>
        </w:tc>
        <w:tc>
          <w:tcPr>
            <w:tcW w:w="320" w:type="dxa"/>
            <w:vAlign w:val="bottom"/>
            <w:shd w:val="clear" w:color="auto" w:fill="D9D9D9"/>
          </w:tcPr>
          <w:p>
            <w:pPr>
              <w:spacing w:after="0"/>
              <w:rPr>
                <w:sz w:val="10"/>
                <w:szCs w:val="10"/>
                <w:color w:val="auto"/>
              </w:rPr>
            </w:pPr>
          </w:p>
        </w:tc>
        <w:tc>
          <w:tcPr>
            <w:tcW w:w="1260" w:type="dxa"/>
            <w:vAlign w:val="bottom"/>
            <w:vMerge w:val="restart"/>
            <w:shd w:val="clear" w:color="auto" w:fill="D9D9D9"/>
          </w:tcPr>
          <w:p>
            <w:pPr>
              <w:jc w:val="center"/>
              <w:ind w:right="276"/>
              <w:spacing w:after="0"/>
              <w:rPr>
                <w:sz w:val="20"/>
                <w:szCs w:val="20"/>
                <w:color w:val="auto"/>
              </w:rPr>
            </w:pPr>
            <w:r>
              <w:rPr>
                <w:rFonts w:ascii="Arial" w:cs="Arial" w:eastAsia="Arial" w:hAnsi="Arial"/>
                <w:sz w:val="18"/>
                <w:szCs w:val="18"/>
                <w:color w:val="auto"/>
                <w:w w:val="99"/>
              </w:rPr>
              <w:t>percentile</w:t>
            </w:r>
          </w:p>
        </w:tc>
        <w:tc>
          <w:tcPr>
            <w:tcW w:w="15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40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260" w:type="dxa"/>
            <w:vAlign w:val="bottom"/>
            <w:vMerge w:val="restart"/>
            <w:shd w:val="clear" w:color="auto" w:fill="D9D9D9"/>
          </w:tcPr>
          <w:p>
            <w:pPr>
              <w:jc w:val="center"/>
              <w:spacing w:after="0"/>
              <w:rPr>
                <w:sz w:val="20"/>
                <w:szCs w:val="20"/>
                <w:color w:val="auto"/>
              </w:rPr>
            </w:pPr>
            <w:r>
              <w:rPr>
                <w:rFonts w:ascii="Arial" w:cs="Arial" w:eastAsia="Arial" w:hAnsi="Arial"/>
                <w:sz w:val="18"/>
                <w:szCs w:val="18"/>
                <w:color w:val="auto"/>
                <w:w w:val="99"/>
              </w:rPr>
              <w:t>percentile</w:t>
            </w:r>
          </w:p>
        </w:tc>
        <w:tc>
          <w:tcPr>
            <w:tcW w:w="144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00" w:type="dxa"/>
            <w:vAlign w:val="bottom"/>
            <w:tcBorders>
              <w:bottom w:val="single" w:sz="8" w:color="071D49"/>
            </w:tcBorders>
            <w:vMerge w:val="continue"/>
            <w:shd w:val="clear" w:color="auto" w:fill="D9D9D9"/>
          </w:tcPr>
          <w:p>
            <w:pPr>
              <w:spacing w:after="0"/>
              <w:rPr>
                <w:sz w:val="8"/>
                <w:szCs w:val="8"/>
                <w:color w:val="auto"/>
              </w:rPr>
            </w:pPr>
          </w:p>
        </w:tc>
        <w:tc>
          <w:tcPr>
            <w:tcW w:w="320" w:type="dxa"/>
            <w:vAlign w:val="bottom"/>
            <w:tcBorders>
              <w:bottom w:val="single" w:sz="8" w:color="071D49"/>
            </w:tcBorders>
            <w:shd w:val="clear" w:color="auto" w:fill="D9D9D9"/>
          </w:tcPr>
          <w:p>
            <w:pPr>
              <w:spacing w:after="0"/>
              <w:rPr>
                <w:sz w:val="8"/>
                <w:szCs w:val="8"/>
                <w:color w:val="auto"/>
              </w:rPr>
            </w:pPr>
          </w:p>
        </w:tc>
        <w:tc>
          <w:tcPr>
            <w:tcW w:w="1260" w:type="dxa"/>
            <w:vAlign w:val="bottom"/>
            <w:tcBorders>
              <w:bottom w:val="single" w:sz="8" w:color="071D49"/>
            </w:tcBorders>
            <w:vMerge w:val="continue"/>
            <w:shd w:val="clear" w:color="auto" w:fill="D9D9D9"/>
          </w:tcPr>
          <w:p>
            <w:pPr>
              <w:spacing w:after="0"/>
              <w:rPr>
                <w:sz w:val="8"/>
                <w:szCs w:val="8"/>
                <w:color w:val="auto"/>
              </w:rPr>
            </w:pPr>
          </w:p>
        </w:tc>
        <w:tc>
          <w:tcPr>
            <w:tcW w:w="1560" w:type="dxa"/>
            <w:vAlign w:val="bottom"/>
            <w:tcBorders>
              <w:bottom w:val="single" w:sz="8" w:color="071D49"/>
            </w:tcBorders>
            <w:vMerge w:val="continue"/>
            <w:shd w:val="clear" w:color="auto" w:fill="D9D9D9"/>
          </w:tcPr>
          <w:p>
            <w:pPr>
              <w:spacing w:after="0"/>
              <w:rPr>
                <w:sz w:val="8"/>
                <w:szCs w:val="8"/>
                <w:color w:val="auto"/>
              </w:rPr>
            </w:pPr>
          </w:p>
        </w:tc>
        <w:tc>
          <w:tcPr>
            <w:tcW w:w="1400" w:type="dxa"/>
            <w:vAlign w:val="bottom"/>
            <w:tcBorders>
              <w:bottom w:val="single" w:sz="8" w:color="071D49"/>
            </w:tcBorders>
            <w:vMerge w:val="continue"/>
            <w:shd w:val="clear" w:color="auto" w:fill="D9D9D9"/>
          </w:tcPr>
          <w:p>
            <w:pPr>
              <w:spacing w:after="0"/>
              <w:rPr>
                <w:sz w:val="8"/>
                <w:szCs w:val="8"/>
                <w:color w:val="auto"/>
              </w:rPr>
            </w:pPr>
          </w:p>
        </w:tc>
        <w:tc>
          <w:tcPr>
            <w:tcW w:w="1260" w:type="dxa"/>
            <w:vAlign w:val="bottom"/>
            <w:tcBorders>
              <w:bottom w:val="single" w:sz="8" w:color="071D49"/>
            </w:tcBorders>
            <w:vMerge w:val="continue"/>
            <w:shd w:val="clear" w:color="auto" w:fill="D9D9D9"/>
          </w:tcPr>
          <w:p>
            <w:pPr>
              <w:spacing w:after="0"/>
              <w:rPr>
                <w:sz w:val="8"/>
                <w:szCs w:val="8"/>
                <w:color w:val="auto"/>
              </w:rPr>
            </w:pPr>
          </w:p>
        </w:tc>
        <w:tc>
          <w:tcPr>
            <w:tcW w:w="1440" w:type="dxa"/>
            <w:vAlign w:val="bottom"/>
            <w:tcBorders>
              <w:bottom w:val="single" w:sz="8" w:color="071D49"/>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1" w:right="140" w:hanging="321"/>
        <w:spacing w:after="0" w:line="246" w:lineRule="auto"/>
        <w:tabs>
          <w:tab w:leader="none" w:pos="32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Diluted earnings per share is adjusted to exclude certain specified items and is a non-GAAP measure, which is reconciled in Appendix B.</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-539750</wp:posOffset>
            </wp:positionV>
            <wp:extent cx="874395"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AbbVie granted performance shares in 2019 that were subject to a 3-year performance cycle that ended December 31, 2021. The table below describes the performance objectives, outcomes, and shares earned.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Borders>
              <w:top w:val="single" w:sz="8" w:color="071D49"/>
            </w:tcBorders>
          </w:tcPr>
          <w:p>
            <w:pPr>
              <w:ind w:left="100"/>
              <w:spacing w:after="0"/>
              <w:rPr>
                <w:sz w:val="20"/>
                <w:szCs w:val="20"/>
                <w:color w:val="auto"/>
              </w:rPr>
            </w:pPr>
            <w:r>
              <w:rPr>
                <w:rFonts w:ascii="Arial" w:cs="Arial" w:eastAsia="Arial" w:hAnsi="Arial"/>
                <w:sz w:val="14"/>
                <w:szCs w:val="14"/>
                <w:b w:val="1"/>
                <w:bCs w:val="1"/>
                <w:color w:val="071D49"/>
              </w:rPr>
              <w:t>Performance</w:t>
            </w:r>
          </w:p>
        </w:tc>
        <w:tc>
          <w:tcPr>
            <w:tcW w:w="1780" w:type="dxa"/>
            <w:vAlign w:val="bottom"/>
            <w:tcBorders>
              <w:top w:val="single" w:sz="8" w:color="071D49"/>
            </w:tcBorders>
          </w:tcPr>
          <w:p>
            <w:pPr>
              <w:spacing w:after="0"/>
              <w:rPr>
                <w:sz w:val="14"/>
                <w:szCs w:val="14"/>
                <w:color w:val="auto"/>
              </w:rPr>
            </w:pPr>
          </w:p>
        </w:tc>
        <w:tc>
          <w:tcPr>
            <w:tcW w:w="1740" w:type="dxa"/>
            <w:vAlign w:val="bottom"/>
            <w:tcBorders>
              <w:top w:val="single" w:sz="8" w:color="071D49"/>
            </w:tcBorders>
          </w:tcPr>
          <w:p>
            <w:pPr>
              <w:spacing w:after="0"/>
              <w:rPr>
                <w:sz w:val="14"/>
                <w:szCs w:val="14"/>
                <w:color w:val="auto"/>
              </w:rPr>
            </w:pPr>
          </w:p>
        </w:tc>
        <w:tc>
          <w:tcPr>
            <w:tcW w:w="1560" w:type="dxa"/>
            <w:vAlign w:val="bottom"/>
            <w:tcBorders>
              <w:top w:val="single" w:sz="8" w:color="071D49"/>
            </w:tcBorders>
          </w:tcPr>
          <w:p>
            <w:pPr>
              <w:spacing w:after="0"/>
              <w:rPr>
                <w:sz w:val="14"/>
                <w:szCs w:val="14"/>
                <w:color w:val="auto"/>
              </w:rPr>
            </w:pPr>
          </w:p>
        </w:tc>
        <w:tc>
          <w:tcPr>
            <w:tcW w:w="1480" w:type="dxa"/>
            <w:vAlign w:val="bottom"/>
            <w:tcBorders>
              <w:top w:val="single" w:sz="8" w:color="071D49"/>
            </w:tcBorders>
          </w:tcPr>
          <w:p>
            <w:pPr>
              <w:spacing w:after="0"/>
              <w:rPr>
                <w:sz w:val="14"/>
                <w:szCs w:val="14"/>
                <w:color w:val="auto"/>
              </w:rPr>
            </w:pPr>
          </w:p>
        </w:tc>
        <w:tc>
          <w:tcPr>
            <w:tcW w:w="1080" w:type="dxa"/>
            <w:vAlign w:val="bottom"/>
            <w:tcBorders>
              <w:top w:val="single" w:sz="8" w:color="071D49"/>
            </w:tcBorders>
          </w:tcPr>
          <w:p>
            <w:pPr>
              <w:jc w:val="center"/>
              <w:ind w:left="122"/>
              <w:spacing w:after="0"/>
              <w:rPr>
                <w:sz w:val="20"/>
                <w:szCs w:val="20"/>
                <w:color w:val="auto"/>
              </w:rPr>
            </w:pPr>
            <w:r>
              <w:rPr>
                <w:rFonts w:ascii="Arial" w:cs="Arial" w:eastAsia="Arial" w:hAnsi="Arial"/>
                <w:sz w:val="14"/>
                <w:szCs w:val="14"/>
                <w:b w:val="1"/>
                <w:bCs w:val="1"/>
                <w:color w:val="071D49"/>
              </w:rPr>
              <w:t>Performance</w:t>
            </w:r>
          </w:p>
        </w:tc>
        <w:tc>
          <w:tcPr>
            <w:tcW w:w="0" w:type="dxa"/>
            <w:vAlign w:val="bottom"/>
          </w:tcPr>
          <w:p>
            <w:pPr>
              <w:spacing w:after="0"/>
              <w:rPr>
                <w:sz w:val="1"/>
                <w:szCs w:val="1"/>
                <w:color w:val="auto"/>
              </w:rPr>
            </w:pPr>
          </w:p>
        </w:tc>
      </w:tr>
      <w:tr>
        <w:trPr>
          <w:trHeight w:val="175"/>
        </w:trPr>
        <w:tc>
          <w:tcPr>
            <w:tcW w:w="1600" w:type="dxa"/>
            <w:vAlign w:val="bottom"/>
            <w:tcBorders>
              <w:bottom w:val="single" w:sz="8" w:color="071D49"/>
            </w:tcBorders>
          </w:tcPr>
          <w:p>
            <w:pPr>
              <w:ind w:left="100"/>
              <w:spacing w:after="0"/>
              <w:rPr>
                <w:sz w:val="20"/>
                <w:szCs w:val="20"/>
                <w:color w:val="auto"/>
              </w:rPr>
            </w:pPr>
            <w:r>
              <w:rPr>
                <w:rFonts w:ascii="Arial" w:cs="Arial" w:eastAsia="Arial" w:hAnsi="Arial"/>
                <w:sz w:val="14"/>
                <w:szCs w:val="14"/>
                <w:b w:val="1"/>
                <w:bCs w:val="1"/>
                <w:color w:val="071D49"/>
              </w:rPr>
              <w:t>Objective</w:t>
            </w:r>
          </w:p>
        </w:tc>
        <w:tc>
          <w:tcPr>
            <w:tcW w:w="1780" w:type="dxa"/>
            <w:vAlign w:val="bottom"/>
            <w:tcBorders>
              <w:bottom w:val="single" w:sz="8" w:color="071D49"/>
            </w:tcBorders>
          </w:tcPr>
          <w:p>
            <w:pPr>
              <w:jc w:val="center"/>
              <w:ind w:left="36"/>
              <w:spacing w:after="0"/>
              <w:rPr>
                <w:sz w:val="20"/>
                <w:szCs w:val="20"/>
                <w:color w:val="auto"/>
              </w:rPr>
            </w:pPr>
            <w:r>
              <w:rPr>
                <w:rFonts w:ascii="Arial" w:cs="Arial" w:eastAsia="Arial" w:hAnsi="Arial"/>
                <w:sz w:val="14"/>
                <w:szCs w:val="14"/>
                <w:b w:val="1"/>
                <w:bCs w:val="1"/>
                <w:color w:val="071D49"/>
              </w:rPr>
              <w:t>Threshold</w:t>
            </w:r>
          </w:p>
        </w:tc>
        <w:tc>
          <w:tcPr>
            <w:tcW w:w="1740" w:type="dxa"/>
            <w:vAlign w:val="bottom"/>
            <w:tcBorders>
              <w:bottom w:val="single" w:sz="8" w:color="071D49"/>
            </w:tcBorders>
          </w:tcPr>
          <w:p>
            <w:pPr>
              <w:jc w:val="center"/>
              <w:spacing w:after="0"/>
              <w:rPr>
                <w:sz w:val="20"/>
                <w:szCs w:val="20"/>
                <w:color w:val="auto"/>
              </w:rPr>
            </w:pPr>
            <w:r>
              <w:rPr>
                <w:rFonts w:ascii="Arial" w:cs="Arial" w:eastAsia="Arial" w:hAnsi="Arial"/>
                <w:sz w:val="14"/>
                <w:szCs w:val="14"/>
                <w:b w:val="1"/>
                <w:bCs w:val="1"/>
                <w:color w:val="071D49"/>
                <w:w w:val="98"/>
              </w:rPr>
              <w:t>Target</w:t>
            </w:r>
          </w:p>
        </w:tc>
        <w:tc>
          <w:tcPr>
            <w:tcW w:w="1560" w:type="dxa"/>
            <w:vAlign w:val="bottom"/>
            <w:tcBorders>
              <w:bottom w:val="single" w:sz="8" w:color="071D49"/>
            </w:tcBorders>
          </w:tcPr>
          <w:p>
            <w:pPr>
              <w:jc w:val="center"/>
              <w:ind w:left="16"/>
              <w:spacing w:after="0"/>
              <w:rPr>
                <w:sz w:val="20"/>
                <w:szCs w:val="20"/>
                <w:color w:val="auto"/>
              </w:rPr>
            </w:pPr>
            <w:r>
              <w:rPr>
                <w:rFonts w:ascii="Arial" w:cs="Arial" w:eastAsia="Arial" w:hAnsi="Arial"/>
                <w:sz w:val="14"/>
                <w:szCs w:val="14"/>
                <w:b w:val="1"/>
                <w:bCs w:val="1"/>
                <w:color w:val="071D49"/>
              </w:rPr>
              <w:t>Maximum</w:t>
            </w:r>
          </w:p>
        </w:tc>
        <w:tc>
          <w:tcPr>
            <w:tcW w:w="1480" w:type="dxa"/>
            <w:vAlign w:val="bottom"/>
            <w:tcBorders>
              <w:bottom w:val="single" w:sz="8" w:color="071D49"/>
            </w:tcBorders>
          </w:tcPr>
          <w:p>
            <w:pPr>
              <w:jc w:val="center"/>
              <w:spacing w:after="0"/>
              <w:rPr>
                <w:sz w:val="20"/>
                <w:szCs w:val="20"/>
                <w:color w:val="auto"/>
              </w:rPr>
            </w:pPr>
            <w:r>
              <w:rPr>
                <w:rFonts w:ascii="Arial" w:cs="Arial" w:eastAsia="Arial" w:hAnsi="Arial"/>
                <w:sz w:val="14"/>
                <w:szCs w:val="14"/>
                <w:b w:val="1"/>
                <w:bCs w:val="1"/>
                <w:color w:val="071D49"/>
              </w:rPr>
              <w:t>Actual</w:t>
            </w:r>
          </w:p>
        </w:tc>
        <w:tc>
          <w:tcPr>
            <w:tcW w:w="1080" w:type="dxa"/>
            <w:vAlign w:val="bottom"/>
            <w:tcBorders>
              <w:bottom w:val="single" w:sz="8" w:color="071D49"/>
            </w:tcBorders>
          </w:tcPr>
          <w:p>
            <w:pPr>
              <w:jc w:val="center"/>
              <w:ind w:left="122"/>
              <w:spacing w:after="0"/>
              <w:rPr>
                <w:sz w:val="20"/>
                <w:szCs w:val="20"/>
                <w:color w:val="auto"/>
              </w:rPr>
            </w:pPr>
            <w:r>
              <w:rPr>
                <w:rFonts w:ascii="Arial" w:cs="Arial" w:eastAsia="Arial" w:hAnsi="Arial"/>
                <w:sz w:val="14"/>
                <w:szCs w:val="14"/>
                <w:b w:val="1"/>
                <w:bCs w:val="1"/>
                <w:color w:val="071D49"/>
              </w:rPr>
              <w:t>Modifier</w:t>
            </w:r>
          </w:p>
        </w:tc>
        <w:tc>
          <w:tcPr>
            <w:tcW w:w="0" w:type="dxa"/>
            <w:vAlign w:val="bottom"/>
          </w:tcPr>
          <w:p>
            <w:pPr>
              <w:spacing w:after="0"/>
              <w:rPr>
                <w:sz w:val="1"/>
                <w:szCs w:val="1"/>
                <w:color w:val="auto"/>
              </w:rPr>
            </w:pPr>
          </w:p>
        </w:tc>
      </w:tr>
      <w:tr>
        <w:trPr>
          <w:trHeight w:val="195"/>
        </w:trPr>
        <w:tc>
          <w:tcPr>
            <w:tcW w:w="1600" w:type="dxa"/>
            <w:vAlign w:val="bottom"/>
            <w:vMerge w:val="restart"/>
            <w:shd w:val="clear" w:color="auto" w:fill="D9D9D9"/>
          </w:tcPr>
          <w:p>
            <w:pPr>
              <w:ind w:left="100"/>
              <w:spacing w:after="0"/>
              <w:rPr>
                <w:sz w:val="20"/>
                <w:szCs w:val="20"/>
                <w:color w:val="auto"/>
              </w:rPr>
            </w:pPr>
            <w:r>
              <w:rPr>
                <w:rFonts w:ascii="Arial" w:cs="Arial" w:eastAsia="Arial" w:hAnsi="Arial"/>
                <w:sz w:val="18"/>
                <w:szCs w:val="18"/>
                <w:color w:val="auto"/>
              </w:rPr>
              <w:t>Relative TSR</w:t>
            </w:r>
          </w:p>
        </w:tc>
        <w:tc>
          <w:tcPr>
            <w:tcW w:w="1780" w:type="dxa"/>
            <w:vAlign w:val="bottom"/>
            <w:shd w:val="clear" w:color="auto" w:fill="D9D9D9"/>
          </w:tcPr>
          <w:p>
            <w:pPr>
              <w:jc w:val="center"/>
              <w:ind w:left="56"/>
              <w:spacing w:after="0" w:line="195" w:lineRule="exact"/>
              <w:rPr>
                <w:sz w:val="20"/>
                <w:szCs w:val="20"/>
                <w:color w:val="auto"/>
              </w:rPr>
            </w:pPr>
            <w:r>
              <w:rPr>
                <w:rFonts w:ascii="Arial" w:cs="Arial" w:eastAsia="Arial" w:hAnsi="Arial"/>
                <w:sz w:val="18"/>
                <w:szCs w:val="18"/>
                <w:color w:val="auto"/>
                <w:w w:val="98"/>
              </w:rPr>
              <w:t>15 pts below</w:t>
            </w:r>
          </w:p>
        </w:tc>
        <w:tc>
          <w:tcPr>
            <w:tcW w:w="1740" w:type="dxa"/>
            <w:vAlign w:val="bottom"/>
            <w:shd w:val="clear" w:color="auto" w:fill="D9D9D9"/>
          </w:tcPr>
          <w:p>
            <w:pPr>
              <w:jc w:val="center"/>
              <w:spacing w:after="0" w:line="195" w:lineRule="exact"/>
              <w:rPr>
                <w:sz w:val="20"/>
                <w:szCs w:val="20"/>
                <w:color w:val="auto"/>
              </w:rPr>
            </w:pPr>
            <w:r>
              <w:rPr>
                <w:rFonts w:ascii="Arial" w:cs="Arial" w:eastAsia="Arial" w:hAnsi="Arial"/>
                <w:sz w:val="18"/>
                <w:szCs w:val="18"/>
                <w:color w:val="auto"/>
                <w:w w:val="99"/>
              </w:rPr>
              <w:t>Equal to index</w:t>
            </w:r>
          </w:p>
        </w:tc>
        <w:tc>
          <w:tcPr>
            <w:tcW w:w="1560" w:type="dxa"/>
            <w:vAlign w:val="bottom"/>
            <w:shd w:val="clear" w:color="auto" w:fill="D9D9D9"/>
          </w:tcPr>
          <w:p>
            <w:pPr>
              <w:jc w:val="center"/>
              <w:ind w:left="16"/>
              <w:spacing w:after="0" w:line="195" w:lineRule="exact"/>
              <w:rPr>
                <w:sz w:val="20"/>
                <w:szCs w:val="20"/>
                <w:color w:val="auto"/>
              </w:rPr>
            </w:pPr>
            <w:r>
              <w:rPr>
                <w:rFonts w:ascii="Arial" w:cs="Arial" w:eastAsia="Arial" w:hAnsi="Arial"/>
                <w:sz w:val="18"/>
                <w:szCs w:val="18"/>
                <w:color w:val="auto"/>
                <w:w w:val="98"/>
              </w:rPr>
              <w:t>15 pts above</w:t>
            </w:r>
          </w:p>
        </w:tc>
        <w:tc>
          <w:tcPr>
            <w:tcW w:w="1480" w:type="dxa"/>
            <w:vAlign w:val="bottom"/>
            <w:shd w:val="clear" w:color="auto" w:fill="D9D9D9"/>
          </w:tcPr>
          <w:p>
            <w:pPr>
              <w:jc w:val="center"/>
              <w:spacing w:after="0" w:line="195" w:lineRule="exact"/>
              <w:rPr>
                <w:sz w:val="20"/>
                <w:szCs w:val="20"/>
                <w:color w:val="auto"/>
              </w:rPr>
            </w:pPr>
            <w:r>
              <w:rPr>
                <w:rFonts w:ascii="Arial" w:cs="Arial" w:eastAsia="Arial" w:hAnsi="Arial"/>
                <w:sz w:val="18"/>
                <w:szCs w:val="18"/>
                <w:color w:val="auto"/>
                <w:w w:val="99"/>
              </w:rPr>
              <w:t>9.5 pts above</w:t>
            </w:r>
          </w:p>
        </w:tc>
        <w:tc>
          <w:tcPr>
            <w:tcW w:w="1080" w:type="dxa"/>
            <w:vAlign w:val="bottom"/>
            <w:vMerge w:val="restart"/>
            <w:shd w:val="clear" w:color="auto" w:fill="D9D9D9"/>
          </w:tcPr>
          <w:p>
            <w:pPr>
              <w:jc w:val="center"/>
              <w:ind w:left="102"/>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09"/>
        </w:trPr>
        <w:tc>
          <w:tcPr>
            <w:tcW w:w="1600" w:type="dxa"/>
            <w:vAlign w:val="bottom"/>
            <w:vMerge w:val="continue"/>
            <w:shd w:val="clear" w:color="auto" w:fill="D9D9D9"/>
          </w:tcPr>
          <w:p>
            <w:pPr>
              <w:spacing w:after="0"/>
              <w:rPr>
                <w:sz w:val="9"/>
                <w:szCs w:val="9"/>
                <w:color w:val="auto"/>
              </w:rPr>
            </w:pPr>
          </w:p>
        </w:tc>
        <w:tc>
          <w:tcPr>
            <w:tcW w:w="1780" w:type="dxa"/>
            <w:vAlign w:val="bottom"/>
            <w:vMerge w:val="restart"/>
            <w:shd w:val="clear" w:color="auto" w:fill="D9D9D9"/>
          </w:tcPr>
          <w:p>
            <w:pPr>
              <w:jc w:val="center"/>
              <w:ind w:left="56"/>
              <w:spacing w:after="0" w:line="203" w:lineRule="exact"/>
              <w:rPr>
                <w:sz w:val="20"/>
                <w:szCs w:val="20"/>
                <w:color w:val="auto"/>
              </w:rPr>
            </w:pPr>
            <w:r>
              <w:rPr>
                <w:rFonts w:ascii="Arial" w:cs="Arial" w:eastAsia="Arial" w:hAnsi="Arial"/>
                <w:sz w:val="18"/>
                <w:szCs w:val="18"/>
                <w:color w:val="auto"/>
              </w:rPr>
              <w:t>index</w:t>
            </w:r>
          </w:p>
        </w:tc>
        <w:tc>
          <w:tcPr>
            <w:tcW w:w="1740" w:type="dxa"/>
            <w:vAlign w:val="bottom"/>
            <w:vMerge w:val="restart"/>
            <w:shd w:val="clear" w:color="auto" w:fill="D9D9D9"/>
          </w:tcPr>
          <w:p>
            <w:pPr>
              <w:jc w:val="center"/>
              <w:spacing w:after="0" w:line="203" w:lineRule="exact"/>
              <w:rPr>
                <w:sz w:val="20"/>
                <w:szCs w:val="20"/>
                <w:color w:val="auto"/>
              </w:rPr>
            </w:pPr>
            <w:r>
              <w:rPr>
                <w:rFonts w:ascii="Arial" w:cs="Arial" w:eastAsia="Arial" w:hAnsi="Arial"/>
                <w:sz w:val="18"/>
                <w:szCs w:val="18"/>
                <w:color w:val="auto"/>
              </w:rPr>
              <w:t>performance</w:t>
            </w:r>
          </w:p>
        </w:tc>
        <w:tc>
          <w:tcPr>
            <w:tcW w:w="1560" w:type="dxa"/>
            <w:vAlign w:val="bottom"/>
            <w:vMerge w:val="restart"/>
            <w:shd w:val="clear" w:color="auto" w:fill="D9D9D9"/>
          </w:tcPr>
          <w:p>
            <w:pPr>
              <w:jc w:val="center"/>
              <w:ind w:left="16"/>
              <w:spacing w:after="0" w:line="203" w:lineRule="exact"/>
              <w:rPr>
                <w:sz w:val="20"/>
                <w:szCs w:val="20"/>
                <w:color w:val="auto"/>
              </w:rPr>
            </w:pPr>
            <w:r>
              <w:rPr>
                <w:rFonts w:ascii="Arial" w:cs="Arial" w:eastAsia="Arial" w:hAnsi="Arial"/>
                <w:sz w:val="18"/>
                <w:szCs w:val="18"/>
                <w:color w:val="auto"/>
                <w:w w:val="97"/>
              </w:rPr>
              <w:t>index</w:t>
            </w:r>
          </w:p>
        </w:tc>
        <w:tc>
          <w:tcPr>
            <w:tcW w:w="1480" w:type="dxa"/>
            <w:vAlign w:val="bottom"/>
            <w:vMerge w:val="restart"/>
            <w:shd w:val="clear" w:color="auto" w:fill="D9D9D9"/>
          </w:tcPr>
          <w:p>
            <w:pPr>
              <w:jc w:val="center"/>
              <w:spacing w:after="0" w:line="203" w:lineRule="exact"/>
              <w:rPr>
                <w:sz w:val="20"/>
                <w:szCs w:val="20"/>
                <w:color w:val="auto"/>
              </w:rPr>
            </w:pPr>
            <w:r>
              <w:rPr>
                <w:rFonts w:ascii="Arial" w:cs="Arial" w:eastAsia="Arial" w:hAnsi="Arial"/>
                <w:sz w:val="18"/>
                <w:szCs w:val="18"/>
                <w:color w:val="auto"/>
              </w:rPr>
              <w:t>index</w:t>
            </w:r>
          </w:p>
        </w:tc>
        <w:tc>
          <w:tcPr>
            <w:tcW w:w="108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00" w:type="dxa"/>
            <w:vAlign w:val="bottom"/>
            <w:tcBorders>
              <w:bottom w:val="single" w:sz="8" w:color="auto"/>
            </w:tcBorders>
            <w:shd w:val="clear" w:color="auto" w:fill="D9D9D9"/>
          </w:tcPr>
          <w:p>
            <w:pPr>
              <w:spacing w:after="0"/>
              <w:rPr>
                <w:sz w:val="8"/>
                <w:szCs w:val="8"/>
                <w:color w:val="auto"/>
              </w:rPr>
            </w:pPr>
          </w:p>
        </w:tc>
        <w:tc>
          <w:tcPr>
            <w:tcW w:w="1780" w:type="dxa"/>
            <w:vAlign w:val="bottom"/>
            <w:tcBorders>
              <w:bottom w:val="single" w:sz="8" w:color="auto"/>
            </w:tcBorders>
            <w:vMerge w:val="continue"/>
            <w:shd w:val="clear" w:color="auto" w:fill="D9D9D9"/>
          </w:tcPr>
          <w:p>
            <w:pPr>
              <w:spacing w:after="0"/>
              <w:rPr>
                <w:sz w:val="8"/>
                <w:szCs w:val="8"/>
                <w:color w:val="auto"/>
              </w:rPr>
            </w:pPr>
          </w:p>
        </w:tc>
        <w:tc>
          <w:tcPr>
            <w:tcW w:w="1740" w:type="dxa"/>
            <w:vAlign w:val="bottom"/>
            <w:tcBorders>
              <w:bottom w:val="single" w:sz="8" w:color="auto"/>
            </w:tcBorders>
            <w:vMerge w:val="continue"/>
            <w:shd w:val="clear" w:color="auto" w:fill="D9D9D9"/>
          </w:tcPr>
          <w:p>
            <w:pPr>
              <w:spacing w:after="0"/>
              <w:rPr>
                <w:sz w:val="8"/>
                <w:szCs w:val="8"/>
                <w:color w:val="auto"/>
              </w:rPr>
            </w:pPr>
          </w:p>
        </w:tc>
        <w:tc>
          <w:tcPr>
            <w:tcW w:w="1560" w:type="dxa"/>
            <w:vAlign w:val="bottom"/>
            <w:tcBorders>
              <w:bottom w:val="single" w:sz="8" w:color="auto"/>
            </w:tcBorders>
            <w:vMerge w:val="continue"/>
            <w:shd w:val="clear" w:color="auto" w:fill="D9D9D9"/>
          </w:tcPr>
          <w:p>
            <w:pPr>
              <w:spacing w:after="0"/>
              <w:rPr>
                <w:sz w:val="8"/>
                <w:szCs w:val="8"/>
                <w:color w:val="auto"/>
              </w:rPr>
            </w:pPr>
          </w:p>
        </w:tc>
        <w:tc>
          <w:tcPr>
            <w:tcW w:w="1480" w:type="dxa"/>
            <w:vAlign w:val="bottom"/>
            <w:tcBorders>
              <w:bottom w:val="single" w:sz="8" w:color="auto"/>
            </w:tcBorders>
            <w:vMerge w:val="continue"/>
            <w:shd w:val="clear" w:color="auto" w:fill="D9D9D9"/>
          </w:tcPr>
          <w:p>
            <w:pPr>
              <w:spacing w:after="0"/>
              <w:rPr>
                <w:sz w:val="8"/>
                <w:szCs w:val="8"/>
                <w:color w:val="auto"/>
              </w:rPr>
            </w:pPr>
          </w:p>
        </w:tc>
        <w:tc>
          <w:tcPr>
            <w:tcW w:w="1080" w:type="dxa"/>
            <w:vAlign w:val="bottom"/>
            <w:tcBorders>
              <w:bottom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AbbVie’s policy with respect to its annual equity award for all eligible employees, including the NEOs, is to grant the award and set the grant price at the compensation committee’s regularly scheduled February meeting each year.</w:t>
      </w:r>
    </w:p>
    <w:p>
      <w:pPr>
        <w:spacing w:after="0" w:line="17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These meeting dates generally are the third Thursday of February and are scheduled two years in advance. The grant price is the average of the highest and lowest trading prices of a common share on the date of the grant (rounded up to the next even penny). The grant price for the 2021 annual grant was $105.92. The high, low and closing prices of an AbbVie common share on the grant date (February 18, 2021) were $106.61, $105.21, and $106.06 respectively. All LTI awards are subject to a minimum vesting period of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20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Each of the benefits described below supports the company’s objective of providing a market competitive total rewards program. Individual benefits do not directly affect decisions regarding other benefits or pay components, except to the extent that all benefits and pay components must, in aggregate, be competitive, as previously discussed.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Retirement Benefits</w:t>
      </w:r>
    </w:p>
    <w:p>
      <w:pPr>
        <w:spacing w:after="0" w:line="1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Supplemental Pension Plan is a non-qualified defined benefit plan that cannot be secured in a manner similar to a qualified plan, for which assets are held in trust, so eligible NEOs receive an annual cash payment equal to the increase in the present value of their Supplemental Pension Plan benefit. Eligible NEOs have the option of depositing the annual payment into an individually established grantor trust, net of tax withholdings. Deposited amounts may be credited with the difference between the NEO’s actual annual trust earnings and the rate used to calculate trust funding (currently 8 percent). Amounts deposited in the individual trusts are not tax-deferred and the NEOs personally pay the taxes on those amounts without gross-ups.</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manner in which the grantor trust assets are to be distributed to an NEO upon retirement from the company generally follows the distribution method elected by the NEO under the AbbVie Pension Plan. If an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will be paid to the NEO (or his or her surviving spouse) by AbbVie.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Savings Plans</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NEOs and other eligible U.S. employees are permitted to defer a portion of their annual base salary under the AbbVie Savings Plan, the company’s principal qualified defined contribution plan, up to the IRS contribution limits. Eligible NEOs also may defer up to 18 percent of their base salary, less contributions to the AbbVie Savings Plan, to the AbbVie Supplemental Savings Plan, which is a non-qualified defined contribution plan.</w:t>
      </w:r>
    </w:p>
    <w:p>
      <w:pPr>
        <w:spacing w:after="0" w:line="200" w:lineRule="exact"/>
        <w:rPr>
          <w:sz w:val="20"/>
          <w:szCs w:val="20"/>
          <w:color w:val="auto"/>
        </w:rPr>
      </w:pPr>
    </w:p>
    <w:p>
      <w:pPr>
        <w:spacing w:after="0" w:line="220"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874395" cy="1625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Eligible NEOs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Financial Planning</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NEOs are paid an annual stipend of $10,000 for estate planning advice, tax preparation and general financial planning fees. The stipend is income to the NEO, who is responsible for payment of all resulting taxes without gross-ups.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Company-Provided Transportation</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Disability Benefits</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addition to AbbVie’s standard disability benefits, NEOs are eligible for a monthly long-term disability benefit, which is described on page 62 of this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AbbVie does not have employment agreements with any of its NEOs.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EXCISE TAX GROSS-UPS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AbbVie does not provide excise tax gross-ups on NEO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20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he or she is entitled to receive certain pay and benefits as described in the section of this proxy statement captioned “Potential Payments upon Termination or Change in Control.”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71D49"/>
        </w:rPr>
        <w:t>Other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his or her position to achieve the ownership level associated with his or her position. NEOs are not allowed to sell stock, except for tax withholding at vesting or exercise, if they do not satisfy the minimum stock ownership requirement. The minimum stock ownership guidelines for the CEO and other NEOs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Borders>
              <w:top w:val="single" w:sz="8" w:color="071D49"/>
              <w:bottom w:val="single" w:sz="8" w:color="071D49"/>
            </w:tcBorders>
          </w:tcPr>
          <w:p>
            <w:pPr>
              <w:spacing w:after="0"/>
              <w:rPr>
                <w:sz w:val="20"/>
                <w:szCs w:val="20"/>
                <w:color w:val="auto"/>
              </w:rPr>
            </w:pPr>
            <w:r>
              <w:rPr>
                <w:rFonts w:ascii="Arial" w:cs="Arial" w:eastAsia="Arial" w:hAnsi="Arial"/>
                <w:sz w:val="18"/>
                <w:szCs w:val="18"/>
                <w:b w:val="1"/>
                <w:bCs w:val="1"/>
                <w:color w:val="071D49"/>
              </w:rPr>
              <w:t>Executive</w:t>
            </w:r>
          </w:p>
        </w:tc>
        <w:tc>
          <w:tcPr>
            <w:tcW w:w="4280" w:type="dxa"/>
            <w:vAlign w:val="bottom"/>
            <w:tcBorders>
              <w:top w:val="single" w:sz="8" w:color="071D49"/>
              <w:bottom w:val="single" w:sz="8" w:color="071D49"/>
            </w:tcBorders>
          </w:tcPr>
          <w:p>
            <w:pPr>
              <w:ind w:left="1520"/>
              <w:spacing w:after="0"/>
              <w:rPr>
                <w:sz w:val="20"/>
                <w:szCs w:val="20"/>
                <w:color w:val="auto"/>
              </w:rPr>
            </w:pPr>
            <w:r>
              <w:rPr>
                <w:rFonts w:ascii="Arial" w:cs="Arial" w:eastAsia="Arial" w:hAnsi="Arial"/>
                <w:sz w:val="18"/>
                <w:szCs w:val="18"/>
                <w:b w:val="1"/>
                <w:bCs w:val="1"/>
                <w:color w:val="071D49"/>
              </w:rPr>
              <w:t>Stock Ownership Requirement</w:t>
            </w:r>
          </w:p>
        </w:tc>
        <w:tc>
          <w:tcPr>
            <w:tcW w:w="1720" w:type="dxa"/>
            <w:vAlign w:val="bottom"/>
            <w:tcBorders>
              <w:top w:val="single" w:sz="8" w:color="071D49"/>
              <w:bottom w:val="single" w:sz="8" w:color="071D49"/>
            </w:tcBorders>
          </w:tcPr>
          <w:p>
            <w:pPr>
              <w:jc w:val="center"/>
              <w:spacing w:after="0"/>
              <w:rPr>
                <w:sz w:val="20"/>
                <w:szCs w:val="20"/>
                <w:color w:val="auto"/>
              </w:rPr>
            </w:pPr>
            <w:r>
              <w:rPr>
                <w:rFonts w:ascii="Arial" w:cs="Arial" w:eastAsia="Arial" w:hAnsi="Arial"/>
                <w:sz w:val="18"/>
                <w:szCs w:val="18"/>
                <w:b w:val="1"/>
                <w:bCs w:val="1"/>
                <w:color w:val="071D49"/>
                <w:w w:val="99"/>
              </w:rPr>
              <w:t>Requirement Met?</w:t>
            </w:r>
          </w:p>
        </w:tc>
      </w:tr>
      <w:tr>
        <w:trPr>
          <w:trHeight w:val="196"/>
        </w:trPr>
        <w:tc>
          <w:tcPr>
            <w:tcW w:w="324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Richard A. Gonzalez</w:t>
            </w:r>
          </w:p>
        </w:tc>
        <w:tc>
          <w:tcPr>
            <w:tcW w:w="4280" w:type="dxa"/>
            <w:vAlign w:val="bottom"/>
            <w:shd w:val="clear" w:color="auto" w:fill="D9D9D9"/>
          </w:tcPr>
          <w:p>
            <w:pPr>
              <w:ind w:left="2260"/>
              <w:spacing w:after="0" w:line="196" w:lineRule="exact"/>
              <w:rPr>
                <w:sz w:val="20"/>
                <w:szCs w:val="20"/>
                <w:color w:val="auto"/>
              </w:rPr>
            </w:pPr>
            <w:r>
              <w:rPr>
                <w:rFonts w:ascii="Arial" w:cs="Arial" w:eastAsia="Arial" w:hAnsi="Arial"/>
                <w:sz w:val="18"/>
                <w:szCs w:val="18"/>
                <w:color w:val="auto"/>
              </w:rPr>
              <w:t>6x Base Salary</w:t>
            </w:r>
          </w:p>
        </w:tc>
        <w:tc>
          <w:tcPr>
            <w:tcW w:w="1720" w:type="dxa"/>
            <w:vAlign w:val="bottom"/>
            <w:shd w:val="clear" w:color="auto" w:fill="D9D9D9"/>
          </w:tcPr>
          <w:p>
            <w:pPr>
              <w:jc w:val="center"/>
              <w:ind w:left="30"/>
              <w:spacing w:after="0" w:line="196" w:lineRule="exact"/>
              <w:rPr>
                <w:sz w:val="20"/>
                <w:szCs w:val="20"/>
                <w:color w:val="auto"/>
              </w:rPr>
            </w:pPr>
            <w:r>
              <w:rPr>
                <w:rFonts w:ascii="Arial" w:cs="Arial" w:eastAsia="Arial" w:hAnsi="Arial"/>
                <w:sz w:val="18"/>
                <w:szCs w:val="18"/>
                <w:color w:val="auto"/>
                <w:w w:val="90"/>
              </w:rPr>
              <w:t>Yes</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Robert A. Michael</w:t>
            </w:r>
          </w:p>
        </w:tc>
        <w:tc>
          <w:tcPr>
            <w:tcW w:w="4280" w:type="dxa"/>
            <w:vAlign w:val="bottom"/>
          </w:tcPr>
          <w:p>
            <w:pPr>
              <w:ind w:left="2260"/>
              <w:spacing w:after="0" w:line="202" w:lineRule="exact"/>
              <w:rPr>
                <w:sz w:val="20"/>
                <w:szCs w:val="20"/>
                <w:color w:val="auto"/>
              </w:rPr>
            </w:pPr>
            <w:r>
              <w:rPr>
                <w:rFonts w:ascii="Arial" w:cs="Arial" w:eastAsia="Arial" w:hAnsi="Arial"/>
                <w:sz w:val="18"/>
                <w:szCs w:val="18"/>
                <w:color w:val="auto"/>
              </w:rPr>
              <w:t>3x Base Salary</w:t>
            </w:r>
          </w:p>
        </w:tc>
        <w:tc>
          <w:tcPr>
            <w:tcW w:w="17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324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Laura J. Schumacher</w:t>
            </w:r>
          </w:p>
        </w:tc>
        <w:tc>
          <w:tcPr>
            <w:tcW w:w="4280" w:type="dxa"/>
            <w:vAlign w:val="bottom"/>
            <w:shd w:val="clear" w:color="auto" w:fill="D9D9D9"/>
          </w:tcPr>
          <w:p>
            <w:pPr>
              <w:ind w:left="2260"/>
              <w:spacing w:after="0" w:line="202" w:lineRule="exact"/>
              <w:rPr>
                <w:sz w:val="20"/>
                <w:szCs w:val="20"/>
                <w:color w:val="auto"/>
              </w:rPr>
            </w:pPr>
            <w:r>
              <w:rPr>
                <w:rFonts w:ascii="Arial" w:cs="Arial" w:eastAsia="Arial" w:hAnsi="Arial"/>
                <w:sz w:val="18"/>
                <w:szCs w:val="18"/>
                <w:color w:val="auto"/>
              </w:rPr>
              <w:t>3x Base Salary</w:t>
            </w:r>
          </w:p>
        </w:tc>
        <w:tc>
          <w:tcPr>
            <w:tcW w:w="1720" w:type="dxa"/>
            <w:vAlign w:val="bottom"/>
            <w:shd w:val="clear" w:color="auto" w:fill="D9D9D9"/>
          </w:tcPr>
          <w:p>
            <w:pPr>
              <w:jc w:val="center"/>
              <w:ind w:left="30"/>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Michael E. Severino</w:t>
            </w:r>
          </w:p>
        </w:tc>
        <w:tc>
          <w:tcPr>
            <w:tcW w:w="4280" w:type="dxa"/>
            <w:vAlign w:val="bottom"/>
          </w:tcPr>
          <w:p>
            <w:pPr>
              <w:ind w:left="2260"/>
              <w:spacing w:after="0" w:line="202" w:lineRule="exact"/>
              <w:rPr>
                <w:sz w:val="20"/>
                <w:szCs w:val="20"/>
                <w:color w:val="auto"/>
              </w:rPr>
            </w:pPr>
            <w:r>
              <w:rPr>
                <w:rFonts w:ascii="Arial" w:cs="Arial" w:eastAsia="Arial" w:hAnsi="Arial"/>
                <w:sz w:val="18"/>
                <w:szCs w:val="18"/>
                <w:color w:val="auto"/>
              </w:rPr>
              <w:t>3x Base Salary</w:t>
            </w:r>
          </w:p>
        </w:tc>
        <w:tc>
          <w:tcPr>
            <w:tcW w:w="17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3240" w:type="dxa"/>
            <w:vAlign w:val="bottom"/>
            <w:tcBorders>
              <w:bottom w:val="single" w:sz="8" w:color="071D49"/>
            </w:tcBorders>
            <w:shd w:val="clear" w:color="auto" w:fill="D9D9D9"/>
          </w:tcPr>
          <w:p>
            <w:pPr>
              <w:spacing w:after="0" w:line="202" w:lineRule="exact"/>
              <w:rPr>
                <w:sz w:val="20"/>
                <w:szCs w:val="20"/>
                <w:color w:val="auto"/>
              </w:rPr>
            </w:pPr>
            <w:r>
              <w:rPr>
                <w:rFonts w:ascii="Arial" w:cs="Arial" w:eastAsia="Arial" w:hAnsi="Arial"/>
                <w:sz w:val="18"/>
                <w:szCs w:val="18"/>
                <w:color w:val="auto"/>
              </w:rPr>
              <w:t>Jeffrey R. Stewart</w:t>
            </w:r>
          </w:p>
        </w:tc>
        <w:tc>
          <w:tcPr>
            <w:tcW w:w="4280" w:type="dxa"/>
            <w:vAlign w:val="bottom"/>
            <w:tcBorders>
              <w:bottom w:val="single" w:sz="8" w:color="071D49"/>
            </w:tcBorders>
            <w:shd w:val="clear" w:color="auto" w:fill="D9D9D9"/>
          </w:tcPr>
          <w:p>
            <w:pPr>
              <w:ind w:left="2260"/>
              <w:spacing w:after="0" w:line="202" w:lineRule="exact"/>
              <w:rPr>
                <w:sz w:val="20"/>
                <w:szCs w:val="20"/>
                <w:color w:val="auto"/>
              </w:rPr>
            </w:pPr>
            <w:r>
              <w:rPr>
                <w:rFonts w:ascii="Arial" w:cs="Arial" w:eastAsia="Arial" w:hAnsi="Arial"/>
                <w:sz w:val="18"/>
                <w:szCs w:val="18"/>
                <w:color w:val="auto"/>
              </w:rPr>
              <w:t>3x Base Salary</w:t>
            </w:r>
          </w:p>
        </w:tc>
        <w:tc>
          <w:tcPr>
            <w:tcW w:w="1720" w:type="dxa"/>
            <w:vAlign w:val="bottom"/>
            <w:tcBorders>
              <w:bottom w:val="single" w:sz="8" w:color="071D49"/>
            </w:tcBorders>
            <w:shd w:val="clear" w:color="auto" w:fill="D9D9D9"/>
          </w:tcPr>
          <w:p>
            <w:pPr>
              <w:jc w:val="center"/>
              <w:ind w:left="30"/>
              <w:spacing w:after="0" w:line="202" w:lineRule="exact"/>
              <w:rPr>
                <w:sz w:val="20"/>
                <w:szCs w:val="20"/>
                <w:color w:val="auto"/>
              </w:rPr>
            </w:pPr>
            <w:r>
              <w:rPr>
                <w:rFonts w:ascii="Arial" w:cs="Arial" w:eastAsia="Arial" w:hAnsi="Arial"/>
                <w:sz w:val="18"/>
                <w:szCs w:val="18"/>
                <w:color w:val="auto"/>
                <w:w w:val="90"/>
              </w:rPr>
              <w:t>Yes</w:t>
            </w:r>
          </w:p>
        </w:tc>
      </w:tr>
    </w:tbl>
    <w:p>
      <w:pPr>
        <w:spacing w:after="0" w:line="21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Further, the company is committed to disclosing in its annual proxy statement the occurrence of any recoupment regarding an executive officer when the underlying violation has already been publicly disclosed in company filings with the SEC. For more details, AbbVie’s Code of Business Conduct is available in the corporate governance section of AbbVie’s investor relations website at www.abbvieinvestor.com.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9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spacing w:after="0" w:line="16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Legal department prior to entering into such transaction.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874395" cy="16319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51" w:name="page52"/>
    <w:bookmarkEnd w:id="51"/>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32"/>
          <w:szCs w:val="32"/>
          <w:color w:val="auto"/>
        </w:rPr>
        <w:t>Compensation Committee Report</w:t>
      </w:r>
    </w:p>
    <w:p>
      <w:pPr>
        <w:spacing w:after="0" w:line="221" w:lineRule="exact"/>
        <w:rPr>
          <w:sz w:val="20"/>
          <w:szCs w:val="20"/>
          <w:color w:val="auto"/>
        </w:rPr>
      </w:pPr>
    </w:p>
    <w:p>
      <w:pPr>
        <w:ind w:left="1" w:right="60"/>
        <w:spacing w:after="0" w:line="237" w:lineRule="auto"/>
        <w:rPr>
          <w:sz w:val="20"/>
          <w:szCs w:val="20"/>
          <w:color w:val="auto"/>
        </w:rPr>
      </w:pPr>
      <w:r>
        <w:rPr>
          <w:rFonts w:ascii="Arial" w:cs="Arial" w:eastAsia="Arial" w:hAnsi="Arial"/>
          <w:sz w:val="18"/>
          <w:szCs w:val="18"/>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recommended to the board of directors that the Compensation Discussion and Analysis be included in this proxy statement.</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Compensation Committee</w:t>
      </w:r>
    </w:p>
    <w:p>
      <w:pPr>
        <w:spacing w:after="0" w:line="230" w:lineRule="exact"/>
        <w:rPr>
          <w:sz w:val="20"/>
          <w:szCs w:val="20"/>
          <w:color w:val="auto"/>
        </w:rPr>
      </w:pPr>
    </w:p>
    <w:p>
      <w:pPr>
        <w:ind w:left="1"/>
        <w:spacing w:after="0"/>
        <w:rPr>
          <w:sz w:val="20"/>
          <w:szCs w:val="20"/>
          <w:color w:val="auto"/>
        </w:rPr>
      </w:pPr>
      <w:r>
        <w:rPr>
          <w:rFonts w:ascii="Arial" w:cs="Arial" w:eastAsia="Arial" w:hAnsi="Arial"/>
          <w:sz w:val="18"/>
          <w:szCs w:val="18"/>
          <w:color w:val="auto"/>
        </w:rPr>
        <w:t>R. Austin, Chair, T. Freyman, E. Liddy, G. Tilton, and F. Waddell</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32"/>
          <w:szCs w:val="32"/>
          <w:color w:val="auto"/>
        </w:rPr>
        <w:t>Compensation Risk Assessment</w:t>
      </w:r>
    </w:p>
    <w:p>
      <w:pPr>
        <w:spacing w:after="0" w:line="221" w:lineRule="exact"/>
        <w:rPr>
          <w:sz w:val="20"/>
          <w:szCs w:val="20"/>
          <w:color w:val="auto"/>
        </w:rPr>
      </w:pPr>
    </w:p>
    <w:p>
      <w:pPr>
        <w:ind w:left="1" w:right="40"/>
        <w:spacing w:after="0" w:line="236" w:lineRule="auto"/>
        <w:rPr>
          <w:sz w:val="20"/>
          <w:szCs w:val="20"/>
          <w:color w:val="auto"/>
        </w:rPr>
      </w:pPr>
      <w:r>
        <w:rPr>
          <w:rFonts w:ascii="Arial" w:cs="Arial" w:eastAsia="Arial" w:hAnsi="Arial"/>
          <w:sz w:val="18"/>
          <w:szCs w:val="18"/>
          <w:color w:val="auto"/>
        </w:rPr>
        <w:t>During 2021,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207" w:lineRule="exact"/>
        <w:rPr>
          <w:sz w:val="20"/>
          <w:szCs w:val="20"/>
          <w:color w:val="auto"/>
        </w:rPr>
      </w:pPr>
    </w:p>
    <w:p>
      <w:pPr>
        <w:ind w:left="321" w:right="8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 is committed to pay equity and conducts pay equity analyses annually to ensure pay is equitable across genders and ethnicities among U.S. employees.</w:t>
      </w:r>
    </w:p>
    <w:p>
      <w:pPr>
        <w:spacing w:after="0" w:line="1" w:lineRule="exact"/>
        <w:rPr>
          <w:rFonts w:ascii="Arial" w:cs="Arial" w:eastAsia="Arial" w:hAnsi="Arial"/>
          <w:sz w:val="18"/>
          <w:szCs w:val="18"/>
          <w:color w:val="071D49"/>
        </w:rPr>
      </w:pPr>
    </w:p>
    <w:p>
      <w:pPr>
        <w:ind w:left="321" w:right="60" w:hanging="321"/>
        <w:spacing w:after="0" w:line="248" w:lineRule="auto"/>
        <w:tabs>
          <w:tab w:leader="none" w:pos="321" w:val="left"/>
        </w:tabs>
        <w:numPr>
          <w:ilvl w:val="0"/>
          <w:numId w:val="55"/>
        </w:numPr>
        <w:rPr>
          <w:rFonts w:ascii="Arial" w:cs="Arial" w:eastAsia="Arial" w:hAnsi="Arial"/>
          <w:sz w:val="17"/>
          <w:szCs w:val="17"/>
          <w:color w:val="071D49"/>
        </w:rPr>
      </w:pPr>
      <w:r>
        <w:rPr>
          <w:rFonts w:ascii="Arial" w:cs="Arial" w:eastAsia="Arial" w:hAnsi="Arial"/>
          <w:sz w:val="17"/>
          <w:szCs w:val="17"/>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1" w:lineRule="exact"/>
        <w:rPr>
          <w:rFonts w:ascii="Arial" w:cs="Arial" w:eastAsia="Arial" w:hAnsi="Arial"/>
          <w:sz w:val="17"/>
          <w:szCs w:val="17"/>
          <w:color w:val="071D49"/>
        </w:rPr>
      </w:pPr>
    </w:p>
    <w:p>
      <w:pPr>
        <w:ind w:left="321" w:right="14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spacing w:after="0" w:line="2" w:lineRule="exact"/>
        <w:rPr>
          <w:rFonts w:ascii="Arial" w:cs="Arial" w:eastAsia="Arial" w:hAnsi="Arial"/>
          <w:sz w:val="18"/>
          <w:szCs w:val="18"/>
          <w:color w:val="071D49"/>
        </w:rPr>
      </w:pPr>
    </w:p>
    <w:p>
      <w:pPr>
        <w:ind w:left="321" w:right="24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In addition, a limit of 200% of target applies to any awards made under the NEO short-term incentive plan.</w:t>
      </w:r>
    </w:p>
    <w:p>
      <w:pPr>
        <w:spacing w:after="0" w:line="3" w:lineRule="exact"/>
        <w:rPr>
          <w:rFonts w:ascii="Arial" w:cs="Arial" w:eastAsia="Arial" w:hAnsi="Arial"/>
          <w:sz w:val="18"/>
          <w:szCs w:val="18"/>
          <w:color w:val="071D49"/>
        </w:rPr>
      </w:pPr>
    </w:p>
    <w:p>
      <w:pPr>
        <w:ind w:left="321" w:right="6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AbbVie’s long-term incentive program focuses NEOs on longer-term operating performance and aligns NEOs with stockholder interests through the use of multi-year performance periods and multiple performance measures, including relative total stockholder return. In 2021,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spacing w:after="0" w:line="4" w:lineRule="exact"/>
        <w:rPr>
          <w:rFonts w:ascii="Arial" w:cs="Arial" w:eastAsia="Arial" w:hAnsi="Arial"/>
          <w:sz w:val="18"/>
          <w:szCs w:val="18"/>
          <w:color w:val="071D49"/>
        </w:rPr>
      </w:pPr>
    </w:p>
    <w:p>
      <w:pPr>
        <w:ind w:left="321" w:right="46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 makes equity awards and sets grant prices at the same time each year, at the compensation committee’s regularly scheduled meeting in February. In addition, AbbVie does not award discounted stock options or immediately vesting equity awards.</w:t>
      </w:r>
    </w:p>
    <w:p>
      <w:pPr>
        <w:spacing w:after="0" w:line="2" w:lineRule="exact"/>
        <w:rPr>
          <w:rFonts w:ascii="Arial" w:cs="Arial" w:eastAsia="Arial" w:hAnsi="Arial"/>
          <w:sz w:val="18"/>
          <w:szCs w:val="18"/>
          <w:color w:val="071D49"/>
        </w:rPr>
      </w:pPr>
    </w:p>
    <w:p>
      <w:pPr>
        <w:ind w:left="321" w:right="540" w:hanging="321"/>
        <w:spacing w:after="0" w:line="234"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 has robust stock ownership guidelines for its senior executives, which promotes alignment with stockholder interests, and other good governance equity practices such as anti-hedging and anti-pledging policies.</w:t>
      </w:r>
    </w:p>
    <w:p>
      <w:pPr>
        <w:spacing w:after="0" w:line="2" w:lineRule="exact"/>
        <w:rPr>
          <w:rFonts w:ascii="Arial" w:cs="Arial" w:eastAsia="Arial" w:hAnsi="Arial"/>
          <w:sz w:val="18"/>
          <w:szCs w:val="18"/>
          <w:color w:val="071D49"/>
        </w:rPr>
      </w:pPr>
    </w:p>
    <w:p>
      <w:pPr>
        <w:ind w:left="321" w:right="660" w:hanging="321"/>
        <w:spacing w:after="0" w:line="246" w:lineRule="auto"/>
        <w:tabs>
          <w:tab w:leader="none" w:pos="321" w:val="left"/>
        </w:tabs>
        <w:numPr>
          <w:ilvl w:val="0"/>
          <w:numId w:val="55"/>
        </w:numPr>
        <w:rPr>
          <w:rFonts w:ascii="Arial" w:cs="Arial" w:eastAsia="Arial" w:hAnsi="Arial"/>
          <w:sz w:val="18"/>
          <w:szCs w:val="18"/>
          <w:color w:val="071D49"/>
        </w:rPr>
      </w:pPr>
      <w:r>
        <w:rPr>
          <w:rFonts w:ascii="Arial" w:cs="Arial" w:eastAsia="Arial" w:hAnsi="Arial"/>
          <w:sz w:val="18"/>
          <w:szCs w:val="18"/>
          <w:color w:val="auto"/>
        </w:rPr>
        <w:t>AbbVie’s compensation committee has the ability to exercise downward discretion in determining annual incentive plan payouts.</w:t>
      </w:r>
    </w:p>
    <w:p>
      <w:pPr>
        <w:spacing w:after="0" w:line="200" w:lineRule="exact"/>
        <w:rPr>
          <w:sz w:val="20"/>
          <w:szCs w:val="20"/>
          <w:color w:val="auto"/>
        </w:rPr>
      </w:pP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52" w:name="page53"/>
    <w:bookmarkEnd w:id="52"/>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hanging="321"/>
        <w:spacing w:after="0" w:line="234" w:lineRule="auto"/>
        <w:tabs>
          <w:tab w:leader="none" w:pos="321" w:val="left"/>
        </w:tabs>
        <w:numPr>
          <w:ilvl w:val="0"/>
          <w:numId w:val="56"/>
        </w:numPr>
        <w:rPr>
          <w:rFonts w:ascii="Arial" w:cs="Arial" w:eastAsia="Arial" w:hAnsi="Arial"/>
          <w:sz w:val="18"/>
          <w:szCs w:val="18"/>
          <w:color w:val="071D49"/>
        </w:rPr>
      </w:pPr>
      <w:r>
        <w:rPr>
          <w:rFonts w:ascii="Arial" w:cs="Arial" w:eastAsia="Arial" w:hAnsi="Arial"/>
          <w:sz w:val="18"/>
          <w:szCs w:val="18"/>
          <w:color w:val="auto"/>
        </w:rPr>
        <w:t>AbbVie’s compensation committee has broad discretion to claw back incentive compensation that was awarded based on financials that were later restated or based on a material breach of the AbbVie Code of Business Conduct.</w:t>
      </w:r>
    </w:p>
    <w:p>
      <w:pPr>
        <w:spacing w:after="0" w:line="2" w:lineRule="exact"/>
        <w:rPr>
          <w:rFonts w:ascii="Arial" w:cs="Arial" w:eastAsia="Arial" w:hAnsi="Arial"/>
          <w:sz w:val="18"/>
          <w:szCs w:val="18"/>
          <w:color w:val="071D49"/>
        </w:rPr>
      </w:pPr>
    </w:p>
    <w:p>
      <w:pPr>
        <w:ind w:left="321" w:right="820" w:hanging="321"/>
        <w:spacing w:after="0" w:line="246" w:lineRule="auto"/>
        <w:tabs>
          <w:tab w:leader="none" w:pos="321" w:val="left"/>
        </w:tabs>
        <w:numPr>
          <w:ilvl w:val="0"/>
          <w:numId w:val="56"/>
        </w:numPr>
        <w:rPr>
          <w:rFonts w:ascii="Arial" w:cs="Arial" w:eastAsia="Arial" w:hAnsi="Arial"/>
          <w:sz w:val="18"/>
          <w:szCs w:val="18"/>
          <w:color w:val="071D49"/>
        </w:rPr>
      </w:pPr>
      <w:r>
        <w:rPr>
          <w:rFonts w:ascii="Arial" w:cs="Arial" w:eastAsia="Arial" w:hAnsi="Arial"/>
          <w:sz w:val="18"/>
          <w:szCs w:val="18"/>
          <w:color w:val="auto"/>
        </w:rPr>
        <w:t>AbbVie requires mandatory training on its code of conduct and policies and procedures to educate its employees on appropriate behaviors and the consequences of taking inappropriate actions.</w:t>
      </w:r>
    </w:p>
    <w:p>
      <w:pPr>
        <w:spacing w:after="0" w:line="197" w:lineRule="exact"/>
        <w:rPr>
          <w:sz w:val="20"/>
          <w:szCs w:val="20"/>
          <w:color w:val="auto"/>
        </w:rPr>
      </w:pPr>
    </w:p>
    <w:p>
      <w:pPr>
        <w:ind w:left="1" w:right="440"/>
        <w:spacing w:after="0" w:line="246" w:lineRule="auto"/>
        <w:rPr>
          <w:sz w:val="20"/>
          <w:szCs w:val="20"/>
          <w:color w:val="auto"/>
        </w:rPr>
      </w:pPr>
      <w:r>
        <w:rPr>
          <w:rFonts w:ascii="Arial" w:cs="Arial" w:eastAsia="Arial" w:hAnsi="Arial"/>
          <w:sz w:val="18"/>
          <w:szCs w:val="18"/>
          <w:color w:val="auto"/>
        </w:rPr>
        <w:t>The risk assessment results were presented to the compensation committee by its independent compensation consultant.</w:t>
      </w:r>
    </w:p>
    <w:p>
      <w:pPr>
        <w:spacing w:after="0" w:line="200" w:lineRule="exact"/>
        <w:rPr>
          <w:sz w:val="20"/>
          <w:szCs w:val="20"/>
          <w:color w:val="auto"/>
        </w:rPr>
      </w:pPr>
    </w:p>
    <w:p>
      <w:pPr>
        <w:spacing w:after="0" w:line="293"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874395" cy="16319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81"/>
          </w:cols>
          <w:pgMar w:left="1319" w:top="530" w:right="1399" w:bottom="1440" w:gutter="0" w:footer="0" w:header="0"/>
        </w:sectPr>
      </w:pPr>
    </w:p>
    <w:bookmarkStart w:id="53" w:name="page54"/>
    <w:bookmarkEnd w:id="53"/>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32"/>
          <w:szCs w:val="32"/>
          <w:color w:val="auto"/>
        </w:rPr>
        <w:t>Summary Compensation Table</w:t>
      </w:r>
    </w:p>
    <w:p>
      <w:pPr>
        <w:spacing w:after="0" w:line="221" w:lineRule="exact"/>
        <w:rPr>
          <w:sz w:val="20"/>
          <w:szCs w:val="20"/>
          <w:color w:val="auto"/>
        </w:rPr>
      </w:pPr>
    </w:p>
    <w:p>
      <w:pPr>
        <w:ind w:left="1" w:right="180"/>
        <w:spacing w:after="0" w:line="257" w:lineRule="auto"/>
        <w:rPr>
          <w:sz w:val="20"/>
          <w:szCs w:val="20"/>
          <w:color w:val="auto"/>
        </w:rPr>
      </w:pPr>
      <w:r>
        <w:rPr>
          <w:rFonts w:ascii="Arial" w:cs="Arial" w:eastAsia="Arial" w:hAnsi="Arial"/>
          <w:sz w:val="17"/>
          <w:szCs w:val="17"/>
          <w:color w:val="auto"/>
        </w:rPr>
        <w:t>This section contains compensation information for AbbVie’s NEOs for the fiscal year ended December 31, 2021. The following table summarizes compensation awarded to, earned by and/or paid to AbbVie’s NEOs in connection with their service to AbbVie during 2021, 2020 and 2019, as applicable. The section of this proxy statement captioned “Compensation Plan Elements” describes in greater detail the information reported in this table.</w:t>
      </w:r>
    </w:p>
    <w:p>
      <w:pPr>
        <w:spacing w:after="0" w:line="167"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in Pension</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 and</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Non</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qualified</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Non</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Equity</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Deferred</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Stock</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Option</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Incentive Plan</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1"/>
                <w:szCs w:val="11"/>
                <w:color w:val="auto"/>
              </w:rPr>
            </w:pPr>
          </w:p>
        </w:tc>
      </w:tr>
      <w:tr>
        <w:trPr>
          <w:trHeight w:val="135"/>
        </w:trPr>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Salary</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Bonus</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Awards</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Awards</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9"/>
              </w:rPr>
              <w:t>Compensation</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Earnings</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8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Total</w:t>
            </w:r>
          </w:p>
        </w:tc>
      </w:tr>
      <w:tr>
        <w:trPr>
          <w:trHeight w:val="157"/>
        </w:trPr>
        <w:tc>
          <w:tcPr>
            <w:tcW w:w="206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Borders>
              <w:bottom w:val="single" w:sz="8" w:color="071D49"/>
            </w:tcBorders>
          </w:tcPr>
          <w:p>
            <w:pPr>
              <w:spacing w:after="0"/>
              <w:rPr>
                <w:sz w:val="13"/>
                <w:szCs w:val="13"/>
                <w:color w:val="auto"/>
              </w:rPr>
            </w:pPr>
          </w:p>
        </w:tc>
        <w:tc>
          <w:tcPr>
            <w:tcW w:w="320" w:type="dxa"/>
            <w:vAlign w:val="bottom"/>
            <w:tcBorders>
              <w:bottom w:val="single" w:sz="8" w:color="071D49"/>
            </w:tcBorders>
            <w:gridSpan w:val="2"/>
          </w:tcPr>
          <w:p>
            <w:pPr>
              <w:jc w:val="right"/>
              <w:ind w:right="40"/>
              <w:spacing w:after="0"/>
              <w:rPr>
                <w:sz w:val="20"/>
                <w:szCs w:val="20"/>
                <w:color w:val="auto"/>
              </w:rPr>
            </w:pPr>
            <w:r>
              <w:rPr>
                <w:rFonts w:ascii="Arial" w:cs="Arial" w:eastAsia="Arial" w:hAnsi="Arial"/>
                <w:sz w:val="13"/>
                <w:szCs w:val="13"/>
                <w:b w:val="1"/>
                <w:bCs w:val="1"/>
                <w:color w:val="auto"/>
                <w:w w:val="92"/>
              </w:rPr>
              <w:t>Year</w:t>
            </w:r>
          </w:p>
        </w:tc>
        <w:tc>
          <w:tcPr>
            <w:tcW w:w="84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071D49"/>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071D49"/>
            </w:tcBorders>
          </w:tcPr>
          <w:p>
            <w:pPr>
              <w:jc w:val="right"/>
              <w:ind w:right="17"/>
              <w:spacing w:after="0"/>
              <w:rPr>
                <w:sz w:val="20"/>
                <w:szCs w:val="20"/>
                <w:color w:val="auto"/>
              </w:rPr>
            </w:pPr>
            <w:r>
              <w:rPr>
                <w:rFonts w:ascii="Arial" w:cs="Arial" w:eastAsia="Arial" w:hAnsi="Arial"/>
                <w:sz w:val="13"/>
                <w:szCs w:val="13"/>
                <w:b w:val="1"/>
                <w:bCs w:val="1"/>
                <w:color w:val="auto"/>
              </w:rPr>
              <w:t>($)(1)</w:t>
            </w:r>
          </w:p>
        </w:tc>
        <w:tc>
          <w:tcPr>
            <w:tcW w:w="7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($)(2)</w:t>
            </w:r>
          </w:p>
        </w:tc>
        <w:tc>
          <w:tcPr>
            <w:tcW w:w="100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($)(3)</w:t>
            </w:r>
          </w:p>
        </w:tc>
        <w:tc>
          <w:tcPr>
            <w:tcW w:w="100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($)(4)(5)</w:t>
            </w:r>
          </w:p>
        </w:tc>
        <w:tc>
          <w:tcPr>
            <w:tcW w:w="9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($)(6)</w:t>
            </w:r>
          </w:p>
        </w:tc>
        <w:tc>
          <w:tcPr>
            <w:tcW w:w="84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23"/>
        </w:trPr>
        <w:tc>
          <w:tcPr>
            <w:tcW w:w="2060" w:type="dxa"/>
            <w:vAlign w:val="bottom"/>
            <w:shd w:val="clear" w:color="auto" w:fill="D9D9D9"/>
          </w:tcPr>
          <w:p>
            <w:pPr>
              <w:spacing w:after="0" w:line="123" w:lineRule="exact"/>
              <w:rPr>
                <w:sz w:val="20"/>
                <w:szCs w:val="20"/>
                <w:color w:val="auto"/>
              </w:rPr>
            </w:pPr>
            <w:r>
              <w:rPr>
                <w:rFonts w:ascii="Arial" w:cs="Arial" w:eastAsia="Arial" w:hAnsi="Arial"/>
                <w:sz w:val="13"/>
                <w:szCs w:val="13"/>
                <w:color w:val="auto"/>
              </w:rPr>
              <w:t>Richard A. Gonzalez</w:t>
            </w:r>
          </w:p>
        </w:tc>
        <w:tc>
          <w:tcPr>
            <w:tcW w:w="400" w:type="dxa"/>
            <w:vAlign w:val="bottom"/>
            <w:gridSpan w:val="3"/>
            <w:shd w:val="clear" w:color="auto" w:fill="D9D9D9"/>
          </w:tcPr>
          <w:p>
            <w:pPr>
              <w:jc w:val="right"/>
              <w:ind w:right="40"/>
              <w:spacing w:after="0" w:line="123" w:lineRule="exact"/>
              <w:rPr>
                <w:sz w:val="20"/>
                <w:szCs w:val="20"/>
                <w:color w:val="auto"/>
              </w:rPr>
            </w:pPr>
            <w:r>
              <w:rPr>
                <w:rFonts w:ascii="Arial" w:cs="Arial" w:eastAsia="Arial" w:hAnsi="Arial"/>
                <w:sz w:val="13"/>
                <w:szCs w:val="13"/>
                <w:color w:val="auto"/>
              </w:rPr>
              <w:t>2021</w:t>
            </w:r>
          </w:p>
        </w:tc>
        <w:tc>
          <w:tcPr>
            <w:tcW w:w="840" w:type="dxa"/>
            <w:vAlign w:val="bottom"/>
            <w:shd w:val="clear" w:color="auto" w:fill="D9D9D9"/>
          </w:tcPr>
          <w:p>
            <w:pPr>
              <w:jc w:val="right"/>
              <w:spacing w:after="0" w:line="123" w:lineRule="exact"/>
              <w:rPr>
                <w:sz w:val="20"/>
                <w:szCs w:val="20"/>
                <w:color w:val="auto"/>
              </w:rPr>
            </w:pPr>
            <w:r>
              <w:rPr>
                <w:rFonts w:ascii="Arial" w:cs="Arial" w:eastAsia="Arial" w:hAnsi="Arial"/>
                <w:sz w:val="13"/>
                <w:szCs w:val="13"/>
                <w:color w:val="auto"/>
              </w:rPr>
              <w:t>$ 1,700,000</w:t>
            </w:r>
          </w:p>
        </w:tc>
        <w:tc>
          <w:tcPr>
            <w:tcW w:w="560" w:type="dxa"/>
            <w:vAlign w:val="bottom"/>
            <w:shd w:val="clear" w:color="auto" w:fill="D9D9D9"/>
          </w:tcPr>
          <w:p>
            <w:pPr>
              <w:jc w:val="right"/>
              <w:ind w:right="37"/>
              <w:spacing w:after="0" w:line="123"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23" w:lineRule="exact"/>
              <w:rPr>
                <w:sz w:val="20"/>
                <w:szCs w:val="20"/>
                <w:color w:val="auto"/>
              </w:rPr>
            </w:pPr>
            <w:r>
              <w:rPr>
                <w:rFonts w:ascii="Arial" w:cs="Arial" w:eastAsia="Arial" w:hAnsi="Arial"/>
                <w:sz w:val="13"/>
                <w:szCs w:val="13"/>
                <w:color w:val="auto"/>
              </w:rPr>
              <w:t>12,573,689</w:t>
            </w:r>
          </w:p>
        </w:tc>
        <w:tc>
          <w:tcPr>
            <w:tcW w:w="720" w:type="dxa"/>
            <w:vAlign w:val="bottom"/>
            <w:shd w:val="clear" w:color="auto" w:fill="D9D9D9"/>
          </w:tcPr>
          <w:p>
            <w:pPr>
              <w:jc w:val="right"/>
              <w:ind w:right="17"/>
              <w:spacing w:after="0" w:line="123" w:lineRule="exact"/>
              <w:rPr>
                <w:sz w:val="20"/>
                <w:szCs w:val="20"/>
                <w:color w:val="auto"/>
              </w:rPr>
            </w:pPr>
            <w:r>
              <w:rPr>
                <w:rFonts w:ascii="Arial" w:cs="Arial" w:eastAsia="Arial" w:hAnsi="Arial"/>
                <w:sz w:val="13"/>
                <w:szCs w:val="13"/>
                <w:color w:val="auto"/>
              </w:rPr>
              <w:t>3,134,649</w:t>
            </w:r>
          </w:p>
        </w:tc>
        <w:tc>
          <w:tcPr>
            <w:tcW w:w="1000" w:type="dxa"/>
            <w:vAlign w:val="bottom"/>
            <w:shd w:val="clear" w:color="auto" w:fill="D9D9D9"/>
          </w:tcPr>
          <w:p>
            <w:pPr>
              <w:jc w:val="right"/>
              <w:ind w:right="17"/>
              <w:spacing w:after="0" w:line="123" w:lineRule="exact"/>
              <w:rPr>
                <w:sz w:val="20"/>
                <w:szCs w:val="20"/>
                <w:color w:val="auto"/>
              </w:rPr>
            </w:pPr>
            <w:r>
              <w:rPr>
                <w:rFonts w:ascii="Arial" w:cs="Arial" w:eastAsia="Arial" w:hAnsi="Arial"/>
                <w:sz w:val="13"/>
                <w:szCs w:val="13"/>
                <w:color w:val="auto"/>
              </w:rPr>
              <w:t>4,908,750</w:t>
            </w:r>
          </w:p>
        </w:tc>
        <w:tc>
          <w:tcPr>
            <w:tcW w:w="1000" w:type="dxa"/>
            <w:vAlign w:val="bottom"/>
            <w:shd w:val="clear" w:color="auto" w:fill="D9D9D9"/>
          </w:tcPr>
          <w:p>
            <w:pPr>
              <w:jc w:val="right"/>
              <w:ind w:right="37"/>
              <w:spacing w:after="0" w:line="123" w:lineRule="exact"/>
              <w:rPr>
                <w:sz w:val="20"/>
                <w:szCs w:val="20"/>
                <w:color w:val="auto"/>
              </w:rPr>
            </w:pPr>
            <w:r>
              <w:rPr>
                <w:rFonts w:ascii="Arial" w:cs="Arial" w:eastAsia="Arial" w:hAnsi="Arial"/>
                <w:sz w:val="13"/>
                <w:szCs w:val="13"/>
                <w:color w:val="auto"/>
              </w:rPr>
              <w:t>780,993</w:t>
            </w:r>
          </w:p>
        </w:tc>
        <w:tc>
          <w:tcPr>
            <w:tcW w:w="980" w:type="dxa"/>
            <w:vAlign w:val="bottom"/>
            <w:shd w:val="clear" w:color="auto" w:fill="D9D9D9"/>
          </w:tcPr>
          <w:p>
            <w:pPr>
              <w:jc w:val="right"/>
              <w:ind w:right="17"/>
              <w:spacing w:after="0" w:line="123" w:lineRule="exact"/>
              <w:rPr>
                <w:sz w:val="20"/>
                <w:szCs w:val="20"/>
                <w:color w:val="auto"/>
              </w:rPr>
            </w:pPr>
            <w:r>
              <w:rPr>
                <w:rFonts w:ascii="Arial" w:cs="Arial" w:eastAsia="Arial" w:hAnsi="Arial"/>
                <w:sz w:val="13"/>
                <w:szCs w:val="13"/>
                <w:color w:val="auto"/>
              </w:rPr>
              <w:t>814,073</w:t>
            </w:r>
          </w:p>
        </w:tc>
        <w:tc>
          <w:tcPr>
            <w:tcW w:w="840" w:type="dxa"/>
            <w:vAlign w:val="bottom"/>
            <w:shd w:val="clear" w:color="auto" w:fill="D9D9D9"/>
          </w:tcPr>
          <w:p>
            <w:pPr>
              <w:jc w:val="right"/>
              <w:spacing w:after="0" w:line="123" w:lineRule="exact"/>
              <w:rPr>
                <w:sz w:val="20"/>
                <w:szCs w:val="20"/>
                <w:color w:val="auto"/>
              </w:rPr>
            </w:pPr>
            <w:r>
              <w:rPr>
                <w:rFonts w:ascii="Arial" w:cs="Arial" w:eastAsia="Arial" w:hAnsi="Arial"/>
                <w:sz w:val="13"/>
                <w:szCs w:val="13"/>
                <w:color w:val="auto"/>
              </w:rPr>
              <w:t>$ 23,912,154</w:t>
            </w:r>
          </w:p>
        </w:tc>
      </w:tr>
      <w:tr>
        <w:trPr>
          <w:trHeight w:val="135"/>
        </w:trPr>
        <w:tc>
          <w:tcPr>
            <w:tcW w:w="2060" w:type="dxa"/>
            <w:vAlign w:val="bottom"/>
            <w:shd w:val="clear" w:color="auto" w:fill="D9D9D9"/>
          </w:tcPr>
          <w:p>
            <w:pPr>
              <w:ind w:left="100"/>
              <w:spacing w:after="0" w:line="135" w:lineRule="exact"/>
              <w:rPr>
                <w:sz w:val="20"/>
                <w:szCs w:val="20"/>
                <w:color w:val="auto"/>
              </w:rPr>
            </w:pPr>
            <w:r>
              <w:rPr>
                <w:rFonts w:ascii="Arial" w:cs="Arial" w:eastAsia="Arial" w:hAnsi="Arial"/>
                <w:sz w:val="13"/>
                <w:szCs w:val="13"/>
                <w:color w:val="auto"/>
              </w:rPr>
              <w:t>Chairman of the Board and</w:t>
            </w:r>
          </w:p>
        </w:tc>
        <w:tc>
          <w:tcPr>
            <w:tcW w:w="80" w:type="dxa"/>
            <w:vAlign w:val="bottom"/>
            <w:shd w:val="clear" w:color="auto" w:fill="D9D9D9"/>
          </w:tcPr>
          <w:p>
            <w:pPr>
              <w:spacing w:after="0"/>
              <w:rPr>
                <w:sz w:val="11"/>
                <w:szCs w:val="11"/>
                <w:color w:val="auto"/>
              </w:rPr>
            </w:pPr>
          </w:p>
        </w:tc>
        <w:tc>
          <w:tcPr>
            <w:tcW w:w="320" w:type="dxa"/>
            <w:vAlign w:val="bottom"/>
            <w:gridSpan w:val="2"/>
            <w:shd w:val="clear" w:color="auto" w:fill="D9D9D9"/>
          </w:tcPr>
          <w:p>
            <w:pPr>
              <w:jc w:val="right"/>
              <w:ind w:right="40"/>
              <w:spacing w:after="0" w:line="135" w:lineRule="exact"/>
              <w:rPr>
                <w:sz w:val="20"/>
                <w:szCs w:val="20"/>
                <w:color w:val="auto"/>
              </w:rPr>
            </w:pPr>
            <w:r>
              <w:rPr>
                <w:rFonts w:ascii="Arial" w:cs="Arial" w:eastAsia="Arial" w:hAnsi="Arial"/>
                <w:sz w:val="13"/>
                <w:szCs w:val="13"/>
                <w:color w:val="auto"/>
                <w:w w:val="89"/>
              </w:rPr>
              <w:t>2020</w:t>
            </w:r>
          </w:p>
        </w:tc>
        <w:tc>
          <w:tcPr>
            <w:tcW w:w="84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1,688,462</w:t>
            </w:r>
          </w:p>
        </w:tc>
        <w:tc>
          <w:tcPr>
            <w:tcW w:w="560" w:type="dxa"/>
            <w:vAlign w:val="bottom"/>
            <w:shd w:val="clear" w:color="auto" w:fill="D9D9D9"/>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35" w:lineRule="exact"/>
              <w:rPr>
                <w:sz w:val="20"/>
                <w:szCs w:val="20"/>
                <w:color w:val="auto"/>
              </w:rPr>
            </w:pPr>
            <w:r>
              <w:rPr>
                <w:rFonts w:ascii="Arial" w:cs="Arial" w:eastAsia="Arial" w:hAnsi="Arial"/>
                <w:sz w:val="13"/>
                <w:szCs w:val="13"/>
                <w:color w:val="auto"/>
              </w:rPr>
              <w:t>11,644,996</w:t>
            </w:r>
          </w:p>
        </w:tc>
        <w:tc>
          <w:tcPr>
            <w:tcW w:w="72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2,781,662</w:t>
            </w:r>
          </w:p>
        </w:tc>
        <w:tc>
          <w:tcPr>
            <w:tcW w:w="100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4,908,750</w:t>
            </w:r>
          </w:p>
        </w:tc>
        <w:tc>
          <w:tcPr>
            <w:tcW w:w="1000" w:type="dxa"/>
            <w:vAlign w:val="bottom"/>
            <w:shd w:val="clear" w:color="auto" w:fill="D9D9D9"/>
          </w:tcPr>
          <w:p>
            <w:pPr>
              <w:jc w:val="right"/>
              <w:ind w:right="37"/>
              <w:spacing w:after="0" w:line="135" w:lineRule="exact"/>
              <w:rPr>
                <w:sz w:val="20"/>
                <w:szCs w:val="20"/>
                <w:color w:val="auto"/>
              </w:rPr>
            </w:pPr>
            <w:r>
              <w:rPr>
                <w:rFonts w:ascii="Arial" w:cs="Arial" w:eastAsia="Arial" w:hAnsi="Arial"/>
                <w:sz w:val="13"/>
                <w:szCs w:val="13"/>
                <w:color w:val="auto"/>
              </w:rPr>
              <w:t>2,224,135</w:t>
            </w:r>
          </w:p>
        </w:tc>
        <w:tc>
          <w:tcPr>
            <w:tcW w:w="98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759,586</w:t>
            </w:r>
          </w:p>
        </w:tc>
        <w:tc>
          <w:tcPr>
            <w:tcW w:w="84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24,007,591</w:t>
            </w:r>
          </w:p>
        </w:tc>
      </w:tr>
      <w:tr>
        <w:trPr>
          <w:trHeight w:val="141"/>
        </w:trPr>
        <w:tc>
          <w:tcPr>
            <w:tcW w:w="2060" w:type="dxa"/>
            <w:vAlign w:val="bottom"/>
            <w:shd w:val="clear" w:color="auto" w:fill="D9D9D9"/>
          </w:tcPr>
          <w:p>
            <w:pPr>
              <w:ind w:left="100"/>
              <w:spacing w:after="0" w:line="141" w:lineRule="exact"/>
              <w:rPr>
                <w:sz w:val="20"/>
                <w:szCs w:val="20"/>
                <w:color w:val="auto"/>
              </w:rPr>
            </w:pPr>
            <w:r>
              <w:rPr>
                <w:rFonts w:ascii="Arial" w:cs="Arial" w:eastAsia="Arial" w:hAnsi="Arial"/>
                <w:sz w:val="13"/>
                <w:szCs w:val="13"/>
                <w:color w:val="auto"/>
              </w:rPr>
              <w:t>Chief Executive Officer</w:t>
            </w:r>
          </w:p>
        </w:tc>
        <w:tc>
          <w:tcPr>
            <w:tcW w:w="80" w:type="dxa"/>
            <w:vAlign w:val="bottom"/>
            <w:shd w:val="clear" w:color="auto" w:fill="D9D9D9"/>
          </w:tcPr>
          <w:p>
            <w:pPr>
              <w:spacing w:after="0"/>
              <w:rPr>
                <w:sz w:val="12"/>
                <w:szCs w:val="12"/>
                <w:color w:val="auto"/>
              </w:rPr>
            </w:pPr>
          </w:p>
        </w:tc>
        <w:tc>
          <w:tcPr>
            <w:tcW w:w="320" w:type="dxa"/>
            <w:vAlign w:val="bottom"/>
            <w:gridSpan w:val="2"/>
            <w:shd w:val="clear" w:color="auto" w:fill="D9D9D9"/>
          </w:tcPr>
          <w:p>
            <w:pPr>
              <w:jc w:val="right"/>
              <w:ind w:right="40"/>
              <w:spacing w:after="0" w:line="141" w:lineRule="exact"/>
              <w:rPr>
                <w:sz w:val="20"/>
                <w:szCs w:val="20"/>
                <w:color w:val="auto"/>
              </w:rPr>
            </w:pPr>
            <w:r>
              <w:rPr>
                <w:rFonts w:ascii="Arial" w:cs="Arial" w:eastAsia="Arial" w:hAnsi="Arial"/>
                <w:sz w:val="13"/>
                <w:szCs w:val="13"/>
                <w:color w:val="auto"/>
                <w:w w:val="89"/>
              </w:rPr>
              <w:t>2019</w:t>
            </w:r>
          </w:p>
        </w:tc>
        <w:tc>
          <w:tcPr>
            <w:tcW w:w="8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1,650,000</w:t>
            </w:r>
          </w:p>
        </w:tc>
        <w:tc>
          <w:tcPr>
            <w:tcW w:w="560" w:type="dxa"/>
            <w:vAlign w:val="bottom"/>
            <w:shd w:val="clear" w:color="auto" w:fill="D9D9D9"/>
          </w:tcPr>
          <w:p>
            <w:pPr>
              <w:jc w:val="right"/>
              <w:ind w:right="37"/>
              <w:spacing w:after="0" w:line="141"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41" w:lineRule="exact"/>
              <w:rPr>
                <w:sz w:val="20"/>
                <w:szCs w:val="20"/>
                <w:color w:val="auto"/>
              </w:rPr>
            </w:pPr>
            <w:r>
              <w:rPr>
                <w:rFonts w:ascii="Arial" w:cs="Arial" w:eastAsia="Arial" w:hAnsi="Arial"/>
                <w:sz w:val="13"/>
                <w:szCs w:val="13"/>
                <w:color w:val="auto"/>
              </w:rPr>
              <w:t>8,887,088</w:t>
            </w:r>
          </w:p>
        </w:tc>
        <w:tc>
          <w:tcPr>
            <w:tcW w:w="72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2,246,253</w:t>
            </w:r>
          </w:p>
        </w:tc>
        <w:tc>
          <w:tcPr>
            <w:tcW w:w="100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4,335,000</w:t>
            </w:r>
          </w:p>
        </w:tc>
        <w:tc>
          <w:tcPr>
            <w:tcW w:w="1000" w:type="dxa"/>
            <w:vAlign w:val="bottom"/>
            <w:shd w:val="clear" w:color="auto" w:fill="D9D9D9"/>
          </w:tcPr>
          <w:p>
            <w:pPr>
              <w:jc w:val="right"/>
              <w:ind w:right="37"/>
              <w:spacing w:after="0" w:line="141" w:lineRule="exact"/>
              <w:rPr>
                <w:sz w:val="20"/>
                <w:szCs w:val="20"/>
                <w:color w:val="auto"/>
              </w:rPr>
            </w:pPr>
            <w:r>
              <w:rPr>
                <w:rFonts w:ascii="Arial" w:cs="Arial" w:eastAsia="Arial" w:hAnsi="Arial"/>
                <w:sz w:val="13"/>
                <w:szCs w:val="13"/>
                <w:color w:val="auto"/>
              </w:rPr>
              <w:t>3,366,720</w:t>
            </w:r>
          </w:p>
        </w:tc>
        <w:tc>
          <w:tcPr>
            <w:tcW w:w="98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1,125,537</w:t>
            </w:r>
          </w:p>
        </w:tc>
        <w:tc>
          <w:tcPr>
            <w:tcW w:w="8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21,610,598</w:t>
            </w:r>
          </w:p>
        </w:tc>
      </w:tr>
      <w:tr>
        <w:trPr>
          <w:trHeight w:val="129"/>
        </w:trPr>
        <w:tc>
          <w:tcPr>
            <w:tcW w:w="2060" w:type="dxa"/>
            <w:vAlign w:val="bottom"/>
          </w:tcPr>
          <w:p>
            <w:pPr>
              <w:spacing w:after="0" w:line="129" w:lineRule="exact"/>
              <w:rPr>
                <w:sz w:val="20"/>
                <w:szCs w:val="20"/>
                <w:color w:val="auto"/>
              </w:rPr>
            </w:pPr>
            <w:r>
              <w:rPr>
                <w:rFonts w:ascii="Arial" w:cs="Arial" w:eastAsia="Arial" w:hAnsi="Arial"/>
                <w:sz w:val="13"/>
                <w:szCs w:val="13"/>
                <w:color w:val="auto"/>
              </w:rPr>
              <w:t>Robert A. Michael</w:t>
            </w:r>
          </w:p>
        </w:tc>
        <w:tc>
          <w:tcPr>
            <w:tcW w:w="80" w:type="dxa"/>
            <w:vAlign w:val="bottom"/>
          </w:tcPr>
          <w:p>
            <w:pPr>
              <w:spacing w:after="0"/>
              <w:rPr>
                <w:sz w:val="11"/>
                <w:szCs w:val="11"/>
                <w:color w:val="auto"/>
              </w:rPr>
            </w:pPr>
          </w:p>
        </w:tc>
        <w:tc>
          <w:tcPr>
            <w:tcW w:w="3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w w:val="89"/>
              </w:rPr>
              <w:t>2021</w:t>
            </w: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1,129,881</w:t>
            </w:r>
          </w:p>
        </w:tc>
        <w:tc>
          <w:tcPr>
            <w:tcW w:w="560" w:type="dxa"/>
            <w:vAlign w:val="bottom"/>
          </w:tcPr>
          <w:p>
            <w:pPr>
              <w:jc w:val="right"/>
              <w:ind w:right="37"/>
              <w:spacing w:after="0" w:line="129"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4,258,823</w:t>
            </w:r>
          </w:p>
        </w:tc>
        <w:tc>
          <w:tcPr>
            <w:tcW w:w="7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1,061,733</w:t>
            </w:r>
          </w:p>
        </w:tc>
        <w:tc>
          <w:tcPr>
            <w:tcW w:w="10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2,630,000</w:t>
            </w:r>
          </w:p>
        </w:tc>
        <w:tc>
          <w:tcPr>
            <w:tcW w:w="10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2,525,840</w:t>
            </w:r>
          </w:p>
        </w:tc>
        <w:tc>
          <w:tcPr>
            <w:tcW w:w="9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61,389</w:t>
            </w: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11,667,666</w:t>
            </w:r>
          </w:p>
        </w:tc>
      </w:tr>
      <w:tr>
        <w:trPr>
          <w:trHeight w:val="135"/>
        </w:trPr>
        <w:tc>
          <w:tcPr>
            <w:tcW w:w="2060" w:type="dxa"/>
            <w:vAlign w:val="bottom"/>
          </w:tcPr>
          <w:p>
            <w:pPr>
              <w:ind w:left="100"/>
              <w:spacing w:after="0" w:line="135" w:lineRule="exact"/>
              <w:rPr>
                <w:sz w:val="20"/>
                <w:szCs w:val="20"/>
                <w:color w:val="auto"/>
              </w:rPr>
            </w:pPr>
            <w:r>
              <w:rPr>
                <w:rFonts w:ascii="Arial" w:cs="Arial" w:eastAsia="Arial" w:hAnsi="Arial"/>
                <w:sz w:val="13"/>
                <w:szCs w:val="13"/>
                <w:color w:val="auto"/>
              </w:rPr>
              <w:t>Vice Chairman, Finance and</w:t>
            </w:r>
          </w:p>
        </w:tc>
        <w:tc>
          <w:tcPr>
            <w:tcW w:w="4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2020</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1,065,385</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5,406,515</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1,291,477</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2,110,000</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3,571,858</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49,394</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13,494,629</w:t>
            </w:r>
          </w:p>
        </w:tc>
      </w:tr>
      <w:tr>
        <w:trPr>
          <w:trHeight w:val="141"/>
        </w:trPr>
        <w:tc>
          <w:tcPr>
            <w:tcW w:w="2060" w:type="dxa"/>
            <w:vAlign w:val="bottom"/>
          </w:tcPr>
          <w:p>
            <w:pPr>
              <w:ind w:left="100"/>
              <w:spacing w:after="0" w:line="141" w:lineRule="exact"/>
              <w:rPr>
                <w:sz w:val="20"/>
                <w:szCs w:val="20"/>
                <w:color w:val="auto"/>
              </w:rPr>
            </w:pPr>
            <w:r>
              <w:rPr>
                <w:rFonts w:ascii="Arial" w:cs="Arial" w:eastAsia="Arial" w:hAnsi="Arial"/>
                <w:sz w:val="13"/>
                <w:szCs w:val="13"/>
                <w:color w:val="auto"/>
              </w:rPr>
              <w:t>Commercial Operations and CFO</w:t>
            </w:r>
          </w:p>
        </w:tc>
        <w:tc>
          <w:tcPr>
            <w:tcW w:w="4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2019</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906,865</w:t>
            </w:r>
          </w:p>
        </w:tc>
        <w:tc>
          <w:tcPr>
            <w:tcW w:w="560" w:type="dxa"/>
            <w:vAlign w:val="bottom"/>
          </w:tcPr>
          <w:p>
            <w:pPr>
              <w:jc w:val="right"/>
              <w:ind w:right="37"/>
              <w:spacing w:after="0" w:line="141"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41" w:lineRule="exact"/>
              <w:rPr>
                <w:sz w:val="20"/>
                <w:szCs w:val="20"/>
                <w:color w:val="auto"/>
              </w:rPr>
            </w:pPr>
            <w:r>
              <w:rPr>
                <w:rFonts w:ascii="Arial" w:cs="Arial" w:eastAsia="Arial" w:hAnsi="Arial"/>
                <w:sz w:val="13"/>
                <w:szCs w:val="13"/>
                <w:color w:val="auto"/>
              </w:rPr>
              <w:t>2,704,766</w:t>
            </w:r>
          </w:p>
        </w:tc>
        <w:tc>
          <w:tcPr>
            <w:tcW w:w="720" w:type="dxa"/>
            <w:vAlign w:val="bottom"/>
          </w:tcPr>
          <w:p>
            <w:pPr>
              <w:jc w:val="right"/>
              <w:ind w:right="17"/>
              <w:spacing w:after="0" w:line="141" w:lineRule="exact"/>
              <w:rPr>
                <w:sz w:val="20"/>
                <w:szCs w:val="20"/>
                <w:color w:val="auto"/>
              </w:rPr>
            </w:pPr>
            <w:r>
              <w:rPr>
                <w:rFonts w:ascii="Arial" w:cs="Arial" w:eastAsia="Arial" w:hAnsi="Arial"/>
                <w:sz w:val="13"/>
                <w:szCs w:val="13"/>
                <w:color w:val="auto"/>
              </w:rPr>
              <w:t>683,643</w:t>
            </w:r>
          </w:p>
        </w:tc>
        <w:tc>
          <w:tcPr>
            <w:tcW w:w="10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1,800,000</w:t>
            </w:r>
          </w:p>
        </w:tc>
        <w:tc>
          <w:tcPr>
            <w:tcW w:w="1000" w:type="dxa"/>
            <w:vAlign w:val="bottom"/>
          </w:tcPr>
          <w:p>
            <w:pPr>
              <w:jc w:val="right"/>
              <w:ind w:right="37"/>
              <w:spacing w:after="0" w:line="141" w:lineRule="exact"/>
              <w:rPr>
                <w:sz w:val="20"/>
                <w:szCs w:val="20"/>
                <w:color w:val="auto"/>
              </w:rPr>
            </w:pPr>
            <w:r>
              <w:rPr>
                <w:rFonts w:ascii="Arial" w:cs="Arial" w:eastAsia="Arial" w:hAnsi="Arial"/>
                <w:sz w:val="13"/>
                <w:szCs w:val="13"/>
                <w:color w:val="auto"/>
              </w:rPr>
              <w:t>2,622,108</w:t>
            </w:r>
          </w:p>
        </w:tc>
        <w:tc>
          <w:tcPr>
            <w:tcW w:w="980" w:type="dxa"/>
            <w:vAlign w:val="bottom"/>
          </w:tcPr>
          <w:p>
            <w:pPr>
              <w:jc w:val="right"/>
              <w:ind w:right="17"/>
              <w:spacing w:after="0" w:line="141" w:lineRule="exact"/>
              <w:rPr>
                <w:sz w:val="20"/>
                <w:szCs w:val="20"/>
                <w:color w:val="auto"/>
              </w:rPr>
            </w:pPr>
            <w:r>
              <w:rPr>
                <w:rFonts w:ascii="Arial" w:cs="Arial" w:eastAsia="Arial" w:hAnsi="Arial"/>
                <w:sz w:val="13"/>
                <w:szCs w:val="13"/>
                <w:color w:val="auto"/>
              </w:rPr>
              <w:t>55,471</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8,772,853</w:t>
            </w:r>
          </w:p>
        </w:tc>
      </w:tr>
      <w:tr>
        <w:trPr>
          <w:trHeight w:val="129"/>
        </w:trPr>
        <w:tc>
          <w:tcPr>
            <w:tcW w:w="2060" w:type="dxa"/>
            <w:vAlign w:val="bottom"/>
            <w:shd w:val="clear" w:color="auto" w:fill="D9D9D9"/>
          </w:tcPr>
          <w:p>
            <w:pPr>
              <w:spacing w:after="0" w:line="129" w:lineRule="exact"/>
              <w:rPr>
                <w:sz w:val="20"/>
                <w:szCs w:val="20"/>
                <w:color w:val="auto"/>
              </w:rPr>
            </w:pPr>
            <w:r>
              <w:rPr>
                <w:rFonts w:ascii="Arial" w:cs="Arial" w:eastAsia="Arial" w:hAnsi="Arial"/>
                <w:sz w:val="13"/>
                <w:szCs w:val="13"/>
                <w:color w:val="auto"/>
              </w:rPr>
              <w:t>Laura J. Schumacher</w:t>
            </w:r>
          </w:p>
        </w:tc>
        <w:tc>
          <w:tcPr>
            <w:tcW w:w="400" w:type="dxa"/>
            <w:vAlign w:val="bottom"/>
            <w:gridSpan w:val="3"/>
            <w:shd w:val="clear" w:color="auto" w:fill="D9D9D9"/>
          </w:tcPr>
          <w:p>
            <w:pPr>
              <w:jc w:val="right"/>
              <w:ind w:right="40"/>
              <w:spacing w:after="0" w:line="129" w:lineRule="exact"/>
              <w:rPr>
                <w:sz w:val="20"/>
                <w:szCs w:val="20"/>
                <w:color w:val="auto"/>
              </w:rPr>
            </w:pPr>
            <w:r>
              <w:rPr>
                <w:rFonts w:ascii="Arial" w:cs="Arial" w:eastAsia="Arial" w:hAnsi="Arial"/>
                <w:sz w:val="13"/>
                <w:szCs w:val="13"/>
                <w:color w:val="auto"/>
              </w:rPr>
              <w:t>2021</w:t>
            </w:r>
          </w:p>
        </w:tc>
        <w:tc>
          <w:tcPr>
            <w:tcW w:w="840" w:type="dxa"/>
            <w:vAlign w:val="bottom"/>
            <w:shd w:val="clear" w:color="auto" w:fill="D9D9D9"/>
          </w:tcPr>
          <w:p>
            <w:pPr>
              <w:jc w:val="right"/>
              <w:spacing w:after="0" w:line="129" w:lineRule="exact"/>
              <w:rPr>
                <w:sz w:val="20"/>
                <w:szCs w:val="20"/>
                <w:color w:val="auto"/>
              </w:rPr>
            </w:pPr>
            <w:r>
              <w:rPr>
                <w:rFonts w:ascii="Arial" w:cs="Arial" w:eastAsia="Arial" w:hAnsi="Arial"/>
                <w:sz w:val="13"/>
                <w:szCs w:val="13"/>
                <w:color w:val="auto"/>
              </w:rPr>
              <w:t>1,248,154</w:t>
            </w:r>
          </w:p>
        </w:tc>
        <w:tc>
          <w:tcPr>
            <w:tcW w:w="560" w:type="dxa"/>
            <w:vAlign w:val="bottom"/>
            <w:shd w:val="clear" w:color="auto" w:fill="D9D9D9"/>
          </w:tcPr>
          <w:p>
            <w:pPr>
              <w:jc w:val="right"/>
              <w:ind w:right="37"/>
              <w:spacing w:after="0" w:line="129"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29" w:lineRule="exact"/>
              <w:rPr>
                <w:sz w:val="20"/>
                <w:szCs w:val="20"/>
                <w:color w:val="auto"/>
              </w:rPr>
            </w:pPr>
            <w:r>
              <w:rPr>
                <w:rFonts w:ascii="Arial" w:cs="Arial" w:eastAsia="Arial" w:hAnsi="Arial"/>
                <w:sz w:val="13"/>
                <w:szCs w:val="13"/>
                <w:color w:val="auto"/>
              </w:rPr>
              <w:t>4,258,823</w:t>
            </w:r>
          </w:p>
        </w:tc>
        <w:tc>
          <w:tcPr>
            <w:tcW w:w="72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1,061,733</w:t>
            </w:r>
          </w:p>
        </w:tc>
        <w:tc>
          <w:tcPr>
            <w:tcW w:w="100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2,638,860</w:t>
            </w:r>
          </w:p>
        </w:tc>
        <w:tc>
          <w:tcPr>
            <w:tcW w:w="1000" w:type="dxa"/>
            <w:vAlign w:val="bottom"/>
            <w:shd w:val="clear" w:color="auto" w:fill="D9D9D9"/>
          </w:tcPr>
          <w:p>
            <w:pPr>
              <w:jc w:val="right"/>
              <w:ind w:right="37"/>
              <w:spacing w:after="0" w:line="129" w:lineRule="exact"/>
              <w:rPr>
                <w:sz w:val="20"/>
                <w:szCs w:val="20"/>
                <w:color w:val="auto"/>
              </w:rPr>
            </w:pPr>
            <w:r>
              <w:rPr>
                <w:rFonts w:ascii="Arial" w:cs="Arial" w:eastAsia="Arial" w:hAnsi="Arial"/>
                <w:sz w:val="13"/>
                <w:szCs w:val="13"/>
                <w:color w:val="auto"/>
              </w:rPr>
              <w:t>2,912,698</w:t>
            </w:r>
          </w:p>
        </w:tc>
        <w:tc>
          <w:tcPr>
            <w:tcW w:w="98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291,570</w:t>
            </w:r>
          </w:p>
        </w:tc>
        <w:tc>
          <w:tcPr>
            <w:tcW w:w="840" w:type="dxa"/>
            <w:vAlign w:val="bottom"/>
            <w:shd w:val="clear" w:color="auto" w:fill="D9D9D9"/>
          </w:tcPr>
          <w:p>
            <w:pPr>
              <w:jc w:val="right"/>
              <w:spacing w:after="0" w:line="129" w:lineRule="exact"/>
              <w:rPr>
                <w:sz w:val="20"/>
                <w:szCs w:val="20"/>
                <w:color w:val="auto"/>
              </w:rPr>
            </w:pPr>
            <w:r>
              <w:rPr>
                <w:rFonts w:ascii="Arial" w:cs="Arial" w:eastAsia="Arial" w:hAnsi="Arial"/>
                <w:sz w:val="13"/>
                <w:szCs w:val="13"/>
                <w:color w:val="auto"/>
              </w:rPr>
              <w:t>12,411,838</w:t>
            </w:r>
          </w:p>
        </w:tc>
      </w:tr>
      <w:tr>
        <w:trPr>
          <w:trHeight w:val="135"/>
        </w:trPr>
        <w:tc>
          <w:tcPr>
            <w:tcW w:w="2060" w:type="dxa"/>
            <w:vAlign w:val="bottom"/>
            <w:shd w:val="clear" w:color="auto" w:fill="D9D9D9"/>
          </w:tcPr>
          <w:p>
            <w:pPr>
              <w:ind w:left="100"/>
              <w:spacing w:after="0" w:line="135" w:lineRule="exact"/>
              <w:rPr>
                <w:sz w:val="20"/>
                <w:szCs w:val="20"/>
                <w:color w:val="auto"/>
              </w:rPr>
            </w:pPr>
            <w:r>
              <w:rPr>
                <w:rFonts w:ascii="Arial" w:cs="Arial" w:eastAsia="Arial" w:hAnsi="Arial"/>
                <w:sz w:val="13"/>
                <w:szCs w:val="13"/>
                <w:color w:val="auto"/>
              </w:rPr>
              <w:t>Vice Chairman, External Affairs</w:t>
            </w:r>
          </w:p>
        </w:tc>
        <w:tc>
          <w:tcPr>
            <w:tcW w:w="80" w:type="dxa"/>
            <w:vAlign w:val="bottom"/>
            <w:shd w:val="clear" w:color="auto" w:fill="D9D9D9"/>
          </w:tcPr>
          <w:p>
            <w:pPr>
              <w:spacing w:after="0"/>
              <w:rPr>
                <w:sz w:val="11"/>
                <w:szCs w:val="11"/>
                <w:color w:val="auto"/>
              </w:rPr>
            </w:pPr>
          </w:p>
        </w:tc>
        <w:tc>
          <w:tcPr>
            <w:tcW w:w="320" w:type="dxa"/>
            <w:vAlign w:val="bottom"/>
            <w:gridSpan w:val="2"/>
            <w:shd w:val="clear" w:color="auto" w:fill="D9D9D9"/>
          </w:tcPr>
          <w:p>
            <w:pPr>
              <w:jc w:val="right"/>
              <w:ind w:right="40"/>
              <w:spacing w:after="0" w:line="135" w:lineRule="exact"/>
              <w:rPr>
                <w:sz w:val="20"/>
                <w:szCs w:val="20"/>
                <w:color w:val="auto"/>
              </w:rPr>
            </w:pPr>
            <w:r>
              <w:rPr>
                <w:rFonts w:ascii="Arial" w:cs="Arial" w:eastAsia="Arial" w:hAnsi="Arial"/>
                <w:sz w:val="13"/>
                <w:szCs w:val="13"/>
                <w:color w:val="auto"/>
                <w:w w:val="89"/>
              </w:rPr>
              <w:t>2020</w:t>
            </w:r>
          </w:p>
        </w:tc>
        <w:tc>
          <w:tcPr>
            <w:tcW w:w="84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1,211,808</w:t>
            </w:r>
          </w:p>
        </w:tc>
        <w:tc>
          <w:tcPr>
            <w:tcW w:w="560" w:type="dxa"/>
            <w:vAlign w:val="bottom"/>
            <w:shd w:val="clear" w:color="auto" w:fill="D9D9D9"/>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35" w:lineRule="exact"/>
              <w:rPr>
                <w:sz w:val="20"/>
                <w:szCs w:val="20"/>
                <w:color w:val="auto"/>
              </w:rPr>
            </w:pPr>
            <w:r>
              <w:rPr>
                <w:rFonts w:ascii="Arial" w:cs="Arial" w:eastAsia="Arial" w:hAnsi="Arial"/>
                <w:sz w:val="13"/>
                <w:szCs w:val="13"/>
                <w:color w:val="auto"/>
              </w:rPr>
              <w:t>5,822,401</w:t>
            </w:r>
          </w:p>
        </w:tc>
        <w:tc>
          <w:tcPr>
            <w:tcW w:w="72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1,390,831</w:t>
            </w:r>
          </w:p>
        </w:tc>
        <w:tc>
          <w:tcPr>
            <w:tcW w:w="100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2,550,000</w:t>
            </w:r>
          </w:p>
        </w:tc>
        <w:tc>
          <w:tcPr>
            <w:tcW w:w="1000" w:type="dxa"/>
            <w:vAlign w:val="bottom"/>
            <w:shd w:val="clear" w:color="auto" w:fill="D9D9D9"/>
          </w:tcPr>
          <w:p>
            <w:pPr>
              <w:jc w:val="right"/>
              <w:ind w:right="37"/>
              <w:spacing w:after="0" w:line="135" w:lineRule="exact"/>
              <w:rPr>
                <w:sz w:val="20"/>
                <w:szCs w:val="20"/>
                <w:color w:val="auto"/>
              </w:rPr>
            </w:pPr>
            <w:r>
              <w:rPr>
                <w:rFonts w:ascii="Arial" w:cs="Arial" w:eastAsia="Arial" w:hAnsi="Arial"/>
                <w:sz w:val="13"/>
                <w:szCs w:val="13"/>
                <w:color w:val="auto"/>
              </w:rPr>
              <w:t>5,716,702</w:t>
            </w:r>
          </w:p>
        </w:tc>
        <w:tc>
          <w:tcPr>
            <w:tcW w:w="980" w:type="dxa"/>
            <w:vAlign w:val="bottom"/>
            <w:shd w:val="clear" w:color="auto" w:fill="D9D9D9"/>
          </w:tcPr>
          <w:p>
            <w:pPr>
              <w:jc w:val="right"/>
              <w:ind w:right="17"/>
              <w:spacing w:after="0" w:line="135" w:lineRule="exact"/>
              <w:rPr>
                <w:sz w:val="20"/>
                <w:szCs w:val="20"/>
                <w:color w:val="auto"/>
              </w:rPr>
            </w:pPr>
            <w:r>
              <w:rPr>
                <w:rFonts w:ascii="Arial" w:cs="Arial" w:eastAsia="Arial" w:hAnsi="Arial"/>
                <w:sz w:val="13"/>
                <w:szCs w:val="13"/>
                <w:color w:val="auto"/>
              </w:rPr>
              <w:t>434,534</w:t>
            </w:r>
          </w:p>
        </w:tc>
        <w:tc>
          <w:tcPr>
            <w:tcW w:w="840" w:type="dxa"/>
            <w:vAlign w:val="bottom"/>
            <w:shd w:val="clear" w:color="auto" w:fill="D9D9D9"/>
          </w:tcPr>
          <w:p>
            <w:pPr>
              <w:jc w:val="right"/>
              <w:spacing w:after="0" w:line="135" w:lineRule="exact"/>
              <w:rPr>
                <w:sz w:val="20"/>
                <w:szCs w:val="20"/>
                <w:color w:val="auto"/>
              </w:rPr>
            </w:pPr>
            <w:r>
              <w:rPr>
                <w:rFonts w:ascii="Arial" w:cs="Arial" w:eastAsia="Arial" w:hAnsi="Arial"/>
                <w:sz w:val="13"/>
                <w:szCs w:val="13"/>
                <w:color w:val="auto"/>
              </w:rPr>
              <w:t>17,126,276</w:t>
            </w:r>
          </w:p>
        </w:tc>
      </w:tr>
      <w:tr>
        <w:trPr>
          <w:trHeight w:val="141"/>
        </w:trPr>
        <w:tc>
          <w:tcPr>
            <w:tcW w:w="2060" w:type="dxa"/>
            <w:vAlign w:val="bottom"/>
            <w:shd w:val="clear" w:color="auto" w:fill="D9D9D9"/>
          </w:tcPr>
          <w:p>
            <w:pPr>
              <w:ind w:left="100"/>
              <w:spacing w:after="0" w:line="141" w:lineRule="exact"/>
              <w:rPr>
                <w:sz w:val="20"/>
                <w:szCs w:val="20"/>
                <w:color w:val="auto"/>
              </w:rPr>
            </w:pPr>
            <w:r>
              <w:rPr>
                <w:rFonts w:ascii="Arial" w:cs="Arial" w:eastAsia="Arial" w:hAnsi="Arial"/>
                <w:sz w:val="13"/>
                <w:szCs w:val="13"/>
                <w:color w:val="auto"/>
              </w:rPr>
              <w:t>and Chief Legal Officer</w:t>
            </w:r>
          </w:p>
        </w:tc>
        <w:tc>
          <w:tcPr>
            <w:tcW w:w="80" w:type="dxa"/>
            <w:vAlign w:val="bottom"/>
            <w:shd w:val="clear" w:color="auto" w:fill="D9D9D9"/>
          </w:tcPr>
          <w:p>
            <w:pPr>
              <w:spacing w:after="0"/>
              <w:rPr>
                <w:sz w:val="12"/>
                <w:szCs w:val="12"/>
                <w:color w:val="auto"/>
              </w:rPr>
            </w:pPr>
          </w:p>
        </w:tc>
        <w:tc>
          <w:tcPr>
            <w:tcW w:w="320" w:type="dxa"/>
            <w:vAlign w:val="bottom"/>
            <w:gridSpan w:val="2"/>
            <w:shd w:val="clear" w:color="auto" w:fill="D9D9D9"/>
          </w:tcPr>
          <w:p>
            <w:pPr>
              <w:jc w:val="right"/>
              <w:ind w:right="40"/>
              <w:spacing w:after="0" w:line="141" w:lineRule="exact"/>
              <w:rPr>
                <w:sz w:val="20"/>
                <w:szCs w:val="20"/>
                <w:color w:val="auto"/>
              </w:rPr>
            </w:pPr>
            <w:r>
              <w:rPr>
                <w:rFonts w:ascii="Arial" w:cs="Arial" w:eastAsia="Arial" w:hAnsi="Arial"/>
                <w:sz w:val="13"/>
                <w:szCs w:val="13"/>
                <w:color w:val="auto"/>
                <w:w w:val="89"/>
              </w:rPr>
              <w:t>2019</w:t>
            </w:r>
          </w:p>
        </w:tc>
        <w:tc>
          <w:tcPr>
            <w:tcW w:w="8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1,176,538</w:t>
            </w:r>
          </w:p>
        </w:tc>
        <w:tc>
          <w:tcPr>
            <w:tcW w:w="560" w:type="dxa"/>
            <w:vAlign w:val="bottom"/>
            <w:shd w:val="clear" w:color="auto" w:fill="D9D9D9"/>
          </w:tcPr>
          <w:p>
            <w:pPr>
              <w:jc w:val="right"/>
              <w:ind w:right="37"/>
              <w:spacing w:after="0" w:line="141"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41" w:lineRule="exact"/>
              <w:rPr>
                <w:sz w:val="20"/>
                <w:szCs w:val="20"/>
                <w:color w:val="auto"/>
              </w:rPr>
            </w:pPr>
            <w:r>
              <w:rPr>
                <w:rFonts w:ascii="Arial" w:cs="Arial" w:eastAsia="Arial" w:hAnsi="Arial"/>
                <w:sz w:val="13"/>
                <w:szCs w:val="13"/>
                <w:color w:val="auto"/>
              </w:rPr>
              <w:t>3,400,155</w:t>
            </w:r>
          </w:p>
        </w:tc>
        <w:tc>
          <w:tcPr>
            <w:tcW w:w="72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859,429</w:t>
            </w:r>
          </w:p>
        </w:tc>
        <w:tc>
          <w:tcPr>
            <w:tcW w:w="100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2,400,000</w:t>
            </w:r>
          </w:p>
        </w:tc>
        <w:tc>
          <w:tcPr>
            <w:tcW w:w="1000" w:type="dxa"/>
            <w:vAlign w:val="bottom"/>
            <w:shd w:val="clear" w:color="auto" w:fill="D9D9D9"/>
          </w:tcPr>
          <w:p>
            <w:pPr>
              <w:jc w:val="right"/>
              <w:ind w:right="37"/>
              <w:spacing w:after="0" w:line="141" w:lineRule="exact"/>
              <w:rPr>
                <w:sz w:val="20"/>
                <w:szCs w:val="20"/>
                <w:color w:val="auto"/>
              </w:rPr>
            </w:pPr>
            <w:r>
              <w:rPr>
                <w:rFonts w:ascii="Arial" w:cs="Arial" w:eastAsia="Arial" w:hAnsi="Arial"/>
                <w:sz w:val="13"/>
                <w:szCs w:val="13"/>
                <w:color w:val="auto"/>
              </w:rPr>
              <w:t>6,579,440</w:t>
            </w:r>
          </w:p>
        </w:tc>
        <w:tc>
          <w:tcPr>
            <w:tcW w:w="980" w:type="dxa"/>
            <w:vAlign w:val="bottom"/>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727,225</w:t>
            </w:r>
          </w:p>
        </w:tc>
        <w:tc>
          <w:tcPr>
            <w:tcW w:w="8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15,142,787</w:t>
            </w:r>
          </w:p>
        </w:tc>
      </w:tr>
      <w:tr>
        <w:trPr>
          <w:trHeight w:val="129"/>
        </w:trPr>
        <w:tc>
          <w:tcPr>
            <w:tcW w:w="2060" w:type="dxa"/>
            <w:vAlign w:val="bottom"/>
          </w:tcPr>
          <w:p>
            <w:pPr>
              <w:spacing w:after="0" w:line="129" w:lineRule="exact"/>
              <w:rPr>
                <w:sz w:val="20"/>
                <w:szCs w:val="20"/>
                <w:color w:val="auto"/>
              </w:rPr>
            </w:pPr>
            <w:r>
              <w:rPr>
                <w:rFonts w:ascii="Arial" w:cs="Arial" w:eastAsia="Arial" w:hAnsi="Arial"/>
                <w:sz w:val="13"/>
                <w:szCs w:val="13"/>
                <w:color w:val="auto"/>
              </w:rPr>
              <w:t>Michael E. Severino</w:t>
            </w:r>
          </w:p>
        </w:tc>
        <w:tc>
          <w:tcPr>
            <w:tcW w:w="80" w:type="dxa"/>
            <w:vAlign w:val="bottom"/>
          </w:tcPr>
          <w:p>
            <w:pPr>
              <w:spacing w:after="0"/>
              <w:rPr>
                <w:sz w:val="11"/>
                <w:szCs w:val="11"/>
                <w:color w:val="auto"/>
              </w:rPr>
            </w:pPr>
          </w:p>
        </w:tc>
        <w:tc>
          <w:tcPr>
            <w:tcW w:w="3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w w:val="89"/>
              </w:rPr>
              <w:t>2021</w:t>
            </w: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1,411,031</w:t>
            </w:r>
          </w:p>
        </w:tc>
        <w:tc>
          <w:tcPr>
            <w:tcW w:w="560" w:type="dxa"/>
            <w:vAlign w:val="bottom"/>
          </w:tcPr>
          <w:p>
            <w:pPr>
              <w:jc w:val="right"/>
              <w:ind w:right="37"/>
              <w:spacing w:after="0" w:line="129"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4,258,823</w:t>
            </w:r>
          </w:p>
        </w:tc>
        <w:tc>
          <w:tcPr>
            <w:tcW w:w="72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1,061,733</w:t>
            </w:r>
          </w:p>
        </w:tc>
        <w:tc>
          <w:tcPr>
            <w:tcW w:w="1000" w:type="dxa"/>
            <w:vAlign w:val="bottom"/>
          </w:tcPr>
          <w:p>
            <w:pPr>
              <w:jc w:val="right"/>
              <w:ind w:right="17"/>
              <w:spacing w:after="0" w:line="129" w:lineRule="exact"/>
              <w:rPr>
                <w:sz w:val="20"/>
                <w:szCs w:val="20"/>
                <w:color w:val="auto"/>
              </w:rPr>
            </w:pPr>
            <w:r>
              <w:rPr>
                <w:rFonts w:ascii="Arial" w:cs="Arial" w:eastAsia="Arial" w:hAnsi="Arial"/>
                <w:sz w:val="13"/>
                <w:szCs w:val="13"/>
                <w:color w:val="auto"/>
              </w:rPr>
              <w:t>2,700,000</w:t>
            </w:r>
          </w:p>
        </w:tc>
        <w:tc>
          <w:tcPr>
            <w:tcW w:w="1000" w:type="dxa"/>
            <w:vAlign w:val="bottom"/>
          </w:tcPr>
          <w:p>
            <w:pPr>
              <w:jc w:val="right"/>
              <w:ind w:right="37"/>
              <w:spacing w:after="0" w:line="129" w:lineRule="exact"/>
              <w:rPr>
                <w:sz w:val="20"/>
                <w:szCs w:val="20"/>
                <w:color w:val="auto"/>
              </w:rPr>
            </w:pPr>
            <w:r>
              <w:rPr>
                <w:rFonts w:ascii="Arial" w:cs="Arial" w:eastAsia="Arial" w:hAnsi="Arial"/>
                <w:sz w:val="13"/>
                <w:szCs w:val="13"/>
                <w:color w:val="auto"/>
              </w:rPr>
              <w:t>1,437,307</w:t>
            </w:r>
          </w:p>
        </w:tc>
        <w:tc>
          <w:tcPr>
            <w:tcW w:w="9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181,026</w:t>
            </w: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11,049,920</w:t>
            </w:r>
          </w:p>
        </w:tc>
      </w:tr>
      <w:tr>
        <w:trPr>
          <w:trHeight w:val="135"/>
        </w:trPr>
        <w:tc>
          <w:tcPr>
            <w:tcW w:w="2060" w:type="dxa"/>
            <w:vAlign w:val="bottom"/>
          </w:tcPr>
          <w:p>
            <w:pPr>
              <w:ind w:left="100"/>
              <w:spacing w:after="0" w:line="135" w:lineRule="exact"/>
              <w:rPr>
                <w:sz w:val="20"/>
                <w:szCs w:val="20"/>
                <w:color w:val="auto"/>
              </w:rPr>
            </w:pPr>
            <w:r>
              <w:rPr>
                <w:rFonts w:ascii="Arial" w:cs="Arial" w:eastAsia="Arial" w:hAnsi="Arial"/>
                <w:sz w:val="13"/>
                <w:szCs w:val="13"/>
                <w:color w:val="auto"/>
              </w:rPr>
              <w:t>Vice Chairman and President</w:t>
            </w:r>
          </w:p>
        </w:tc>
        <w:tc>
          <w:tcPr>
            <w:tcW w:w="4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2020</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1,369,923</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5,822,401</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1,390,831</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2,700,000</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1,910,985</w:t>
            </w:r>
          </w:p>
        </w:tc>
        <w:tc>
          <w:tcPr>
            <w:tcW w:w="9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216,918</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13,411,058</w:t>
            </w:r>
          </w:p>
        </w:tc>
      </w:tr>
      <w:tr>
        <w:trPr>
          <w:trHeight w:val="141"/>
        </w:trPr>
        <w:tc>
          <w:tcPr>
            <w:tcW w:w="2060" w:type="dxa"/>
            <w:vAlign w:val="bottom"/>
          </w:tcPr>
          <w:p>
            <w:pPr>
              <w:spacing w:after="0"/>
              <w:rPr>
                <w:sz w:val="12"/>
                <w:szCs w:val="12"/>
                <w:color w:val="auto"/>
              </w:rPr>
            </w:pPr>
          </w:p>
        </w:tc>
        <w:tc>
          <w:tcPr>
            <w:tcW w:w="40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2019</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1,330,000</w:t>
            </w:r>
          </w:p>
        </w:tc>
        <w:tc>
          <w:tcPr>
            <w:tcW w:w="560" w:type="dxa"/>
            <w:vAlign w:val="bottom"/>
          </w:tcPr>
          <w:p>
            <w:pPr>
              <w:jc w:val="right"/>
              <w:ind w:right="37"/>
              <w:spacing w:after="0" w:line="141" w:lineRule="exact"/>
              <w:rPr>
                <w:sz w:val="20"/>
                <w:szCs w:val="20"/>
                <w:color w:val="auto"/>
              </w:rPr>
            </w:pPr>
            <w:r>
              <w:rPr>
                <w:rFonts w:ascii="Arial" w:cs="Arial" w:eastAsia="Arial" w:hAnsi="Arial"/>
                <w:sz w:val="13"/>
                <w:szCs w:val="13"/>
                <w:color w:val="auto"/>
              </w:rPr>
              <w:t>0</w:t>
            </w:r>
          </w:p>
        </w:tc>
        <w:tc>
          <w:tcPr>
            <w:tcW w:w="840" w:type="dxa"/>
            <w:vAlign w:val="bottom"/>
          </w:tcPr>
          <w:p>
            <w:pPr>
              <w:jc w:val="right"/>
              <w:ind w:right="57"/>
              <w:spacing w:after="0" w:line="141" w:lineRule="exact"/>
              <w:rPr>
                <w:sz w:val="20"/>
                <w:szCs w:val="20"/>
                <w:color w:val="auto"/>
              </w:rPr>
            </w:pPr>
            <w:r>
              <w:rPr>
                <w:rFonts w:ascii="Arial" w:cs="Arial" w:eastAsia="Arial" w:hAnsi="Arial"/>
                <w:sz w:val="13"/>
                <w:szCs w:val="13"/>
                <w:color w:val="auto"/>
              </w:rPr>
              <w:t>3,199,248</w:t>
            </w:r>
          </w:p>
        </w:tc>
        <w:tc>
          <w:tcPr>
            <w:tcW w:w="720" w:type="dxa"/>
            <w:vAlign w:val="bottom"/>
          </w:tcPr>
          <w:p>
            <w:pPr>
              <w:jc w:val="right"/>
              <w:ind w:right="17"/>
              <w:spacing w:after="0" w:line="141" w:lineRule="exact"/>
              <w:rPr>
                <w:sz w:val="20"/>
                <w:szCs w:val="20"/>
                <w:color w:val="auto"/>
              </w:rPr>
            </w:pPr>
            <w:r>
              <w:rPr>
                <w:rFonts w:ascii="Arial" w:cs="Arial" w:eastAsia="Arial" w:hAnsi="Arial"/>
                <w:sz w:val="13"/>
                <w:szCs w:val="13"/>
                <w:color w:val="auto"/>
              </w:rPr>
              <w:t>808,642</w:t>
            </w:r>
          </w:p>
        </w:tc>
        <w:tc>
          <w:tcPr>
            <w:tcW w:w="10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2,400,000</w:t>
            </w:r>
          </w:p>
        </w:tc>
        <w:tc>
          <w:tcPr>
            <w:tcW w:w="1000" w:type="dxa"/>
            <w:vAlign w:val="bottom"/>
          </w:tcPr>
          <w:p>
            <w:pPr>
              <w:jc w:val="right"/>
              <w:ind w:right="37"/>
              <w:spacing w:after="0" w:line="141" w:lineRule="exact"/>
              <w:rPr>
                <w:sz w:val="20"/>
                <w:szCs w:val="20"/>
                <w:color w:val="auto"/>
              </w:rPr>
            </w:pPr>
            <w:r>
              <w:rPr>
                <w:rFonts w:ascii="Arial" w:cs="Arial" w:eastAsia="Arial" w:hAnsi="Arial"/>
                <w:sz w:val="13"/>
                <w:szCs w:val="13"/>
                <w:color w:val="auto"/>
              </w:rPr>
              <w:t>1,525,091</w:t>
            </w:r>
          </w:p>
        </w:tc>
        <w:tc>
          <w:tcPr>
            <w:tcW w:w="980" w:type="dxa"/>
            <w:vAlign w:val="bottom"/>
          </w:tcPr>
          <w:p>
            <w:pPr>
              <w:jc w:val="right"/>
              <w:ind w:right="17"/>
              <w:spacing w:after="0" w:line="141" w:lineRule="exact"/>
              <w:rPr>
                <w:sz w:val="20"/>
                <w:szCs w:val="20"/>
                <w:color w:val="auto"/>
              </w:rPr>
            </w:pPr>
            <w:r>
              <w:rPr>
                <w:rFonts w:ascii="Arial" w:cs="Arial" w:eastAsia="Arial" w:hAnsi="Arial"/>
                <w:sz w:val="13"/>
                <w:szCs w:val="13"/>
                <w:color w:val="auto"/>
              </w:rPr>
              <w:t>245,467</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9,508,448</w:t>
            </w:r>
          </w:p>
        </w:tc>
      </w:tr>
      <w:tr>
        <w:trPr>
          <w:trHeight w:val="129"/>
        </w:trPr>
        <w:tc>
          <w:tcPr>
            <w:tcW w:w="2060" w:type="dxa"/>
            <w:vAlign w:val="bottom"/>
            <w:shd w:val="clear" w:color="auto" w:fill="D9D9D9"/>
          </w:tcPr>
          <w:p>
            <w:pPr>
              <w:spacing w:after="0" w:line="129" w:lineRule="exact"/>
              <w:rPr>
                <w:sz w:val="20"/>
                <w:szCs w:val="20"/>
                <w:color w:val="auto"/>
              </w:rPr>
            </w:pPr>
            <w:r>
              <w:rPr>
                <w:rFonts w:ascii="Arial" w:cs="Arial" w:eastAsia="Arial" w:hAnsi="Arial"/>
                <w:sz w:val="13"/>
                <w:szCs w:val="13"/>
                <w:color w:val="auto"/>
              </w:rPr>
              <w:t>Jeffrey R. Stewart</w:t>
            </w:r>
          </w:p>
        </w:tc>
        <w:tc>
          <w:tcPr>
            <w:tcW w:w="400" w:type="dxa"/>
            <w:vAlign w:val="bottom"/>
            <w:gridSpan w:val="3"/>
            <w:shd w:val="clear" w:color="auto" w:fill="D9D9D9"/>
          </w:tcPr>
          <w:p>
            <w:pPr>
              <w:jc w:val="right"/>
              <w:ind w:right="40"/>
              <w:spacing w:after="0" w:line="129" w:lineRule="exact"/>
              <w:rPr>
                <w:sz w:val="20"/>
                <w:szCs w:val="20"/>
                <w:color w:val="auto"/>
              </w:rPr>
            </w:pPr>
            <w:r>
              <w:rPr>
                <w:rFonts w:ascii="Arial" w:cs="Arial" w:eastAsia="Arial" w:hAnsi="Arial"/>
                <w:sz w:val="13"/>
                <w:szCs w:val="13"/>
                <w:color w:val="auto"/>
              </w:rPr>
              <w:t>2021</w:t>
            </w:r>
          </w:p>
        </w:tc>
        <w:tc>
          <w:tcPr>
            <w:tcW w:w="840" w:type="dxa"/>
            <w:vAlign w:val="bottom"/>
            <w:shd w:val="clear" w:color="auto" w:fill="D9D9D9"/>
          </w:tcPr>
          <w:p>
            <w:pPr>
              <w:jc w:val="right"/>
              <w:spacing w:after="0" w:line="129" w:lineRule="exact"/>
              <w:rPr>
                <w:sz w:val="20"/>
                <w:szCs w:val="20"/>
                <w:color w:val="auto"/>
              </w:rPr>
            </w:pPr>
            <w:r>
              <w:rPr>
                <w:rFonts w:ascii="Arial" w:cs="Arial" w:eastAsia="Arial" w:hAnsi="Arial"/>
                <w:sz w:val="13"/>
                <w:szCs w:val="13"/>
                <w:color w:val="auto"/>
              </w:rPr>
              <w:t>1,074,231</w:t>
            </w:r>
          </w:p>
        </w:tc>
        <w:tc>
          <w:tcPr>
            <w:tcW w:w="560" w:type="dxa"/>
            <w:vAlign w:val="bottom"/>
            <w:shd w:val="clear" w:color="auto" w:fill="D9D9D9"/>
          </w:tcPr>
          <w:p>
            <w:pPr>
              <w:jc w:val="right"/>
              <w:ind w:right="37"/>
              <w:spacing w:after="0" w:line="129" w:lineRule="exact"/>
              <w:rPr>
                <w:sz w:val="20"/>
                <w:szCs w:val="20"/>
                <w:color w:val="auto"/>
              </w:rPr>
            </w:pPr>
            <w:r>
              <w:rPr>
                <w:rFonts w:ascii="Arial" w:cs="Arial" w:eastAsia="Arial" w:hAnsi="Arial"/>
                <w:sz w:val="13"/>
                <w:szCs w:val="13"/>
                <w:color w:val="auto"/>
              </w:rPr>
              <w:t>0</w:t>
            </w:r>
          </w:p>
        </w:tc>
        <w:tc>
          <w:tcPr>
            <w:tcW w:w="840" w:type="dxa"/>
            <w:vAlign w:val="bottom"/>
            <w:shd w:val="clear" w:color="auto" w:fill="D9D9D9"/>
          </w:tcPr>
          <w:p>
            <w:pPr>
              <w:jc w:val="right"/>
              <w:ind w:right="57"/>
              <w:spacing w:after="0" w:line="129" w:lineRule="exact"/>
              <w:rPr>
                <w:sz w:val="20"/>
                <w:szCs w:val="20"/>
                <w:color w:val="auto"/>
              </w:rPr>
            </w:pPr>
            <w:r>
              <w:rPr>
                <w:rFonts w:ascii="Arial" w:cs="Arial" w:eastAsia="Arial" w:hAnsi="Arial"/>
                <w:sz w:val="13"/>
                <w:szCs w:val="13"/>
                <w:color w:val="auto"/>
              </w:rPr>
              <w:t>2,839,144</w:t>
            </w:r>
          </w:p>
        </w:tc>
        <w:tc>
          <w:tcPr>
            <w:tcW w:w="72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707,822</w:t>
            </w:r>
          </w:p>
        </w:tc>
        <w:tc>
          <w:tcPr>
            <w:tcW w:w="100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2,050,000</w:t>
            </w:r>
          </w:p>
        </w:tc>
        <w:tc>
          <w:tcPr>
            <w:tcW w:w="1000" w:type="dxa"/>
            <w:vAlign w:val="bottom"/>
            <w:shd w:val="clear" w:color="auto" w:fill="D9D9D9"/>
          </w:tcPr>
          <w:p>
            <w:pPr>
              <w:jc w:val="right"/>
              <w:ind w:right="37"/>
              <w:spacing w:after="0" w:line="129" w:lineRule="exact"/>
              <w:rPr>
                <w:sz w:val="20"/>
                <w:szCs w:val="20"/>
                <w:color w:val="auto"/>
              </w:rPr>
            </w:pPr>
            <w:r>
              <w:rPr>
                <w:rFonts w:ascii="Arial" w:cs="Arial" w:eastAsia="Arial" w:hAnsi="Arial"/>
                <w:sz w:val="13"/>
                <w:szCs w:val="13"/>
                <w:color w:val="auto"/>
              </w:rPr>
              <w:t>2,212,898</w:t>
            </w:r>
          </w:p>
        </w:tc>
        <w:tc>
          <w:tcPr>
            <w:tcW w:w="980" w:type="dxa"/>
            <w:vAlign w:val="bottom"/>
            <w:shd w:val="clear" w:color="auto" w:fill="D9D9D9"/>
          </w:tcPr>
          <w:p>
            <w:pPr>
              <w:jc w:val="right"/>
              <w:ind w:right="17"/>
              <w:spacing w:after="0" w:line="129" w:lineRule="exact"/>
              <w:rPr>
                <w:sz w:val="20"/>
                <w:szCs w:val="20"/>
                <w:color w:val="auto"/>
              </w:rPr>
            </w:pPr>
            <w:r>
              <w:rPr>
                <w:rFonts w:ascii="Arial" w:cs="Arial" w:eastAsia="Arial" w:hAnsi="Arial"/>
                <w:sz w:val="13"/>
                <w:szCs w:val="13"/>
                <w:color w:val="auto"/>
              </w:rPr>
              <w:t>129,001</w:t>
            </w:r>
          </w:p>
        </w:tc>
        <w:tc>
          <w:tcPr>
            <w:tcW w:w="840" w:type="dxa"/>
            <w:vAlign w:val="bottom"/>
            <w:shd w:val="clear" w:color="auto" w:fill="D9D9D9"/>
          </w:tcPr>
          <w:p>
            <w:pPr>
              <w:jc w:val="right"/>
              <w:spacing w:after="0" w:line="129" w:lineRule="exact"/>
              <w:rPr>
                <w:sz w:val="20"/>
                <w:szCs w:val="20"/>
                <w:color w:val="auto"/>
              </w:rPr>
            </w:pPr>
            <w:r>
              <w:rPr>
                <w:rFonts w:ascii="Arial" w:cs="Arial" w:eastAsia="Arial" w:hAnsi="Arial"/>
                <w:sz w:val="13"/>
                <w:szCs w:val="13"/>
                <w:color w:val="auto"/>
              </w:rPr>
              <w:t>9,013,096</w:t>
            </w:r>
          </w:p>
        </w:tc>
      </w:tr>
      <w:tr>
        <w:trPr>
          <w:trHeight w:val="135"/>
        </w:trPr>
        <w:tc>
          <w:tcPr>
            <w:tcW w:w="2060" w:type="dxa"/>
            <w:vAlign w:val="bottom"/>
            <w:shd w:val="clear" w:color="auto" w:fill="D9D9D9"/>
          </w:tcPr>
          <w:p>
            <w:pPr>
              <w:ind w:left="100"/>
              <w:spacing w:after="0" w:line="135" w:lineRule="exact"/>
              <w:rPr>
                <w:sz w:val="20"/>
                <w:szCs w:val="20"/>
                <w:color w:val="auto"/>
              </w:rPr>
            </w:pPr>
            <w:r>
              <w:rPr>
                <w:rFonts w:ascii="Arial" w:cs="Arial" w:eastAsia="Arial" w:hAnsi="Arial"/>
                <w:sz w:val="13"/>
                <w:szCs w:val="13"/>
                <w:color w:val="auto"/>
              </w:rPr>
              <w:t>Executive Vice President, Chief</w:t>
            </w:r>
          </w:p>
        </w:tc>
        <w:tc>
          <w:tcPr>
            <w:tcW w:w="8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56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c>
          <w:tcPr>
            <w:tcW w:w="72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980" w:type="dxa"/>
            <w:vAlign w:val="bottom"/>
            <w:shd w:val="clear" w:color="auto" w:fill="D9D9D9"/>
          </w:tcPr>
          <w:p>
            <w:pPr>
              <w:spacing w:after="0"/>
              <w:rPr>
                <w:sz w:val="11"/>
                <w:szCs w:val="11"/>
                <w:color w:val="auto"/>
              </w:rPr>
            </w:pPr>
          </w:p>
        </w:tc>
        <w:tc>
          <w:tcPr>
            <w:tcW w:w="840" w:type="dxa"/>
            <w:vAlign w:val="bottom"/>
            <w:shd w:val="clear" w:color="auto" w:fill="D9D9D9"/>
          </w:tcPr>
          <w:p>
            <w:pPr>
              <w:spacing w:after="0"/>
              <w:rPr>
                <w:sz w:val="11"/>
                <w:szCs w:val="11"/>
                <w:color w:val="auto"/>
              </w:rPr>
            </w:pPr>
          </w:p>
        </w:tc>
      </w:tr>
      <w:tr>
        <w:trPr>
          <w:trHeight w:val="141"/>
        </w:trPr>
        <w:tc>
          <w:tcPr>
            <w:tcW w:w="2060" w:type="dxa"/>
            <w:vAlign w:val="bottom"/>
            <w:tcBorders>
              <w:bottom w:val="single" w:sz="8" w:color="auto"/>
            </w:tcBorders>
            <w:shd w:val="clear" w:color="auto" w:fill="D9D9D9"/>
          </w:tcPr>
          <w:p>
            <w:pPr>
              <w:ind w:left="100"/>
              <w:spacing w:after="0" w:line="141" w:lineRule="exact"/>
              <w:rPr>
                <w:sz w:val="20"/>
                <w:szCs w:val="20"/>
                <w:color w:val="auto"/>
              </w:rPr>
            </w:pPr>
            <w:r>
              <w:rPr>
                <w:rFonts w:ascii="Arial" w:cs="Arial" w:eastAsia="Arial" w:hAnsi="Arial"/>
                <w:sz w:val="13"/>
                <w:szCs w:val="13"/>
                <w:color w:val="auto"/>
              </w:rPr>
              <w:t>Commercial Officer</w:t>
            </w:r>
          </w:p>
        </w:tc>
        <w:tc>
          <w:tcPr>
            <w:tcW w:w="80" w:type="dxa"/>
            <w:vAlign w:val="bottom"/>
            <w:tcBorders>
              <w:bottom w:val="single" w:sz="8" w:color="071D49"/>
            </w:tcBorders>
            <w:shd w:val="clear" w:color="auto" w:fill="D9D9D9"/>
          </w:tcPr>
          <w:p>
            <w:pPr>
              <w:spacing w:after="0"/>
              <w:rPr>
                <w:sz w:val="12"/>
                <w:szCs w:val="12"/>
                <w:color w:val="auto"/>
              </w:rPr>
            </w:pPr>
          </w:p>
        </w:tc>
        <w:tc>
          <w:tcPr>
            <w:tcW w:w="180" w:type="dxa"/>
            <w:vAlign w:val="bottom"/>
            <w:tcBorders>
              <w:bottom w:val="single" w:sz="8" w:color="auto"/>
            </w:tcBorders>
            <w:shd w:val="clear" w:color="auto" w:fill="D9D9D9"/>
          </w:tcPr>
          <w:p>
            <w:pPr>
              <w:spacing w:after="0"/>
              <w:rPr>
                <w:sz w:val="12"/>
                <w:szCs w:val="12"/>
                <w:color w:val="auto"/>
              </w:rPr>
            </w:pPr>
          </w:p>
        </w:tc>
        <w:tc>
          <w:tcPr>
            <w:tcW w:w="140" w:type="dxa"/>
            <w:vAlign w:val="bottom"/>
            <w:tcBorders>
              <w:bottom w:val="single" w:sz="8" w:color="auto"/>
            </w:tcBorders>
            <w:shd w:val="clear" w:color="auto" w:fill="D9D9D9"/>
          </w:tcPr>
          <w:p>
            <w:pPr>
              <w:spacing w:after="0"/>
              <w:rPr>
                <w:sz w:val="12"/>
                <w:szCs w:val="12"/>
                <w:color w:val="auto"/>
              </w:rPr>
            </w:pPr>
          </w:p>
        </w:tc>
        <w:tc>
          <w:tcPr>
            <w:tcW w:w="840" w:type="dxa"/>
            <w:vAlign w:val="bottom"/>
            <w:tcBorders>
              <w:bottom w:val="single" w:sz="8" w:color="071D49"/>
            </w:tcBorders>
            <w:shd w:val="clear" w:color="auto" w:fill="D9D9D9"/>
          </w:tcPr>
          <w:p>
            <w:pPr>
              <w:spacing w:after="0"/>
              <w:rPr>
                <w:sz w:val="12"/>
                <w:szCs w:val="12"/>
                <w:color w:val="auto"/>
              </w:rPr>
            </w:pPr>
          </w:p>
        </w:tc>
        <w:tc>
          <w:tcPr>
            <w:tcW w:w="560" w:type="dxa"/>
            <w:vAlign w:val="bottom"/>
            <w:tcBorders>
              <w:bottom w:val="single" w:sz="8" w:color="071D49"/>
            </w:tcBorders>
            <w:shd w:val="clear" w:color="auto" w:fill="D9D9D9"/>
          </w:tcPr>
          <w:p>
            <w:pPr>
              <w:spacing w:after="0"/>
              <w:rPr>
                <w:sz w:val="12"/>
                <w:szCs w:val="12"/>
                <w:color w:val="auto"/>
              </w:rPr>
            </w:pPr>
          </w:p>
        </w:tc>
        <w:tc>
          <w:tcPr>
            <w:tcW w:w="840" w:type="dxa"/>
            <w:vAlign w:val="bottom"/>
            <w:tcBorders>
              <w:bottom w:val="single" w:sz="8" w:color="071D49"/>
            </w:tcBorders>
            <w:shd w:val="clear" w:color="auto" w:fill="D9D9D9"/>
          </w:tcPr>
          <w:p>
            <w:pPr>
              <w:spacing w:after="0"/>
              <w:rPr>
                <w:sz w:val="12"/>
                <w:szCs w:val="12"/>
                <w:color w:val="auto"/>
              </w:rPr>
            </w:pPr>
          </w:p>
        </w:tc>
        <w:tc>
          <w:tcPr>
            <w:tcW w:w="720" w:type="dxa"/>
            <w:vAlign w:val="bottom"/>
            <w:tcBorders>
              <w:bottom w:val="single" w:sz="8" w:color="071D49"/>
            </w:tcBorders>
            <w:shd w:val="clear" w:color="auto" w:fill="D9D9D9"/>
          </w:tcPr>
          <w:p>
            <w:pPr>
              <w:spacing w:after="0"/>
              <w:rPr>
                <w:sz w:val="12"/>
                <w:szCs w:val="12"/>
                <w:color w:val="auto"/>
              </w:rPr>
            </w:pPr>
          </w:p>
        </w:tc>
        <w:tc>
          <w:tcPr>
            <w:tcW w:w="1000" w:type="dxa"/>
            <w:vAlign w:val="bottom"/>
            <w:tcBorders>
              <w:bottom w:val="single" w:sz="8" w:color="071D49"/>
            </w:tcBorders>
            <w:shd w:val="clear" w:color="auto" w:fill="D9D9D9"/>
          </w:tcPr>
          <w:p>
            <w:pPr>
              <w:spacing w:after="0"/>
              <w:rPr>
                <w:sz w:val="12"/>
                <w:szCs w:val="12"/>
                <w:color w:val="auto"/>
              </w:rPr>
            </w:pPr>
          </w:p>
        </w:tc>
        <w:tc>
          <w:tcPr>
            <w:tcW w:w="1000" w:type="dxa"/>
            <w:vAlign w:val="bottom"/>
            <w:tcBorders>
              <w:bottom w:val="single" w:sz="8" w:color="071D49"/>
            </w:tcBorders>
            <w:shd w:val="clear" w:color="auto" w:fill="D9D9D9"/>
          </w:tcPr>
          <w:p>
            <w:pPr>
              <w:spacing w:after="0"/>
              <w:rPr>
                <w:sz w:val="12"/>
                <w:szCs w:val="12"/>
                <w:color w:val="auto"/>
              </w:rPr>
            </w:pPr>
          </w:p>
        </w:tc>
        <w:tc>
          <w:tcPr>
            <w:tcW w:w="980" w:type="dxa"/>
            <w:vAlign w:val="bottom"/>
            <w:tcBorders>
              <w:bottom w:val="single" w:sz="8" w:color="071D49"/>
            </w:tcBorders>
            <w:shd w:val="clear" w:color="auto" w:fill="D9D9D9"/>
          </w:tcPr>
          <w:p>
            <w:pPr>
              <w:spacing w:after="0"/>
              <w:rPr>
                <w:sz w:val="12"/>
                <w:szCs w:val="12"/>
                <w:color w:val="auto"/>
              </w:rPr>
            </w:pPr>
          </w:p>
        </w:tc>
        <w:tc>
          <w:tcPr>
            <w:tcW w:w="840" w:type="dxa"/>
            <w:vAlign w:val="bottom"/>
            <w:tcBorders>
              <w:bottom w:val="single" w:sz="8" w:color="071D49"/>
            </w:tcBorders>
            <w:shd w:val="clear" w:color="auto" w:fill="D9D9D9"/>
          </w:tcPr>
          <w:p>
            <w:pPr>
              <w:spacing w:after="0"/>
              <w:rPr>
                <w:sz w:val="12"/>
                <w:szCs w:val="12"/>
                <w:color w:val="auto"/>
              </w:rPr>
            </w:pPr>
          </w:p>
        </w:tc>
      </w:tr>
      <w:tr>
        <w:trPr>
          <w:trHeight w:val="101"/>
        </w:trPr>
        <w:tc>
          <w:tcPr>
            <w:tcW w:w="20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94" w:lineRule="exact"/>
        <w:rPr>
          <w:sz w:val="20"/>
          <w:szCs w:val="20"/>
          <w:color w:val="auto"/>
        </w:rPr>
      </w:pPr>
    </w:p>
    <w:p>
      <w:pPr>
        <w:ind w:left="321" w:right="20" w:hanging="321"/>
        <w:spacing w:after="0" w:line="237" w:lineRule="auto"/>
        <w:tabs>
          <w:tab w:leader="none" w:pos="3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with a TSR market condition are determined using the Monte Carlo simulation model.</w:t>
      </w:r>
    </w:p>
    <w:p>
      <w:pPr>
        <w:spacing w:after="0" w:line="204" w:lineRule="exact"/>
        <w:rPr>
          <w:rFonts w:ascii="Arial" w:cs="Arial" w:eastAsia="Arial" w:hAnsi="Arial"/>
          <w:sz w:val="18"/>
          <w:szCs w:val="18"/>
          <w:color w:val="auto"/>
        </w:rPr>
      </w:pPr>
    </w:p>
    <w:p>
      <w:pPr>
        <w:ind w:left="321" w:right="60" w:hanging="321"/>
        <w:spacing w:after="0" w:line="237" w:lineRule="auto"/>
        <w:tabs>
          <w:tab w:leader="none" w:pos="32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at which employee stock options would be traded for cash. The weighted-average assumptions used to estimate the grant date fair value of options granted in 2021, along with the weighted-average grant date fair value,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137795</wp:posOffset>
            </wp:positionV>
            <wp:extent cx="469773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197" w:lineRule="exact"/>
        <w:rPr>
          <w:sz w:val="20"/>
          <w:szCs w:val="20"/>
          <w:color w:val="auto"/>
        </w:rPr>
      </w:pPr>
    </w:p>
    <w:p>
      <w:pPr>
        <w:ind w:left="921"/>
        <w:spacing w:after="0"/>
        <w:rPr>
          <w:sz w:val="20"/>
          <w:szCs w:val="20"/>
          <w:color w:val="auto"/>
        </w:rPr>
      </w:pPr>
      <w:r>
        <w:rPr>
          <w:rFonts w:ascii="Arial" w:cs="Arial" w:eastAsia="Arial" w:hAnsi="Arial"/>
          <w:sz w:val="14"/>
          <w:szCs w:val="14"/>
          <w:b w:val="1"/>
          <w:bCs w:val="1"/>
          <w:color w:val="auto"/>
        </w:rPr>
        <w:t>Assumption</w:t>
      </w:r>
    </w:p>
    <w:p>
      <w:pPr>
        <w:spacing w:after="0" w:line="14" w:lineRule="exact"/>
        <w:rPr>
          <w:sz w:val="20"/>
          <w:szCs w:val="20"/>
          <w:color w:val="auto"/>
        </w:rPr>
      </w:pPr>
    </w:p>
    <w:tbl>
      <w:tblPr>
        <w:tblLayout w:type="fixed"/>
        <w:tblInd w:w="921" w:type="dxa"/>
        <w:tblCellMar>
          <w:top w:w="0" w:type="dxa"/>
          <w:left w:w="0" w:type="dxa"/>
          <w:bottom w:w="0" w:type="dxa"/>
          <w:right w:w="0" w:type="dxa"/>
        </w:tblCellMar>
      </w:tblPr>
      <w:tr>
        <w:trPr>
          <w:trHeight w:val="210"/>
        </w:trPr>
        <w:tc>
          <w:tcPr>
            <w:tcW w:w="4380" w:type="dxa"/>
            <w:vAlign w:val="bottom"/>
            <w:tcBorders>
              <w:top w:val="single" w:sz="8" w:color="071D49"/>
            </w:tcBorders>
            <w:shd w:val="clear" w:color="auto" w:fill="E7E7E8"/>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020" w:type="dxa"/>
            <w:vAlign w:val="bottom"/>
            <w:tcBorders>
              <w:top w:val="single" w:sz="8" w:color="071D49"/>
            </w:tcBorders>
            <w:shd w:val="clear" w:color="auto" w:fill="E7E7E8"/>
          </w:tcPr>
          <w:p>
            <w:pPr>
              <w:jc w:val="right"/>
              <w:spacing w:after="0"/>
              <w:rPr>
                <w:sz w:val="20"/>
                <w:szCs w:val="20"/>
                <w:color w:val="auto"/>
              </w:rPr>
            </w:pPr>
            <w:r>
              <w:rPr>
                <w:rFonts w:ascii="Arial" w:cs="Arial" w:eastAsia="Arial" w:hAnsi="Arial"/>
                <w:sz w:val="18"/>
                <w:szCs w:val="18"/>
                <w:color w:val="auto"/>
              </w:rPr>
              <w:t>0.77 %</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Average life of options (years)</w:t>
            </w:r>
          </w:p>
        </w:tc>
        <w:tc>
          <w:tcPr>
            <w:tcW w:w="30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6.1</w:t>
            </w:r>
          </w:p>
        </w:tc>
      </w:tr>
      <w:tr>
        <w:trPr>
          <w:trHeight w:val="203"/>
        </w:trPr>
        <w:tc>
          <w:tcPr>
            <w:tcW w:w="4380" w:type="dxa"/>
            <w:vAlign w:val="bottom"/>
            <w:shd w:val="clear" w:color="auto" w:fill="E7E7E8"/>
          </w:tcPr>
          <w:p>
            <w:pPr>
              <w:spacing w:after="0" w:line="202" w:lineRule="exact"/>
              <w:rPr>
                <w:sz w:val="20"/>
                <w:szCs w:val="20"/>
                <w:color w:val="auto"/>
              </w:rPr>
            </w:pPr>
            <w:r>
              <w:rPr>
                <w:rFonts w:ascii="Arial" w:cs="Arial" w:eastAsia="Arial" w:hAnsi="Arial"/>
                <w:sz w:val="18"/>
                <w:szCs w:val="18"/>
                <w:color w:val="auto"/>
              </w:rPr>
              <w:t>Volatility</w:t>
            </w:r>
          </w:p>
        </w:tc>
        <w:tc>
          <w:tcPr>
            <w:tcW w:w="302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30.17 %</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3020" w:type="dxa"/>
            <w:vAlign w:val="bottom"/>
          </w:tcPr>
          <w:p>
            <w:pPr>
              <w:jc w:val="right"/>
              <w:spacing w:after="0" w:line="202" w:lineRule="exact"/>
              <w:rPr>
                <w:sz w:val="20"/>
                <w:szCs w:val="20"/>
                <w:color w:val="auto"/>
              </w:rPr>
            </w:pPr>
            <w:r>
              <w:rPr>
                <w:rFonts w:ascii="Arial" w:cs="Arial" w:eastAsia="Arial" w:hAnsi="Arial"/>
                <w:sz w:val="18"/>
                <w:szCs w:val="18"/>
                <w:color w:val="auto"/>
              </w:rPr>
              <w:t>4.88 %</w:t>
            </w:r>
          </w:p>
        </w:tc>
      </w:tr>
      <w:tr>
        <w:trPr>
          <w:trHeight w:val="202"/>
        </w:trPr>
        <w:tc>
          <w:tcPr>
            <w:tcW w:w="4380" w:type="dxa"/>
            <w:vAlign w:val="bottom"/>
            <w:tcBorders>
              <w:bottom w:val="single" w:sz="8" w:color="071D49"/>
            </w:tcBorders>
            <w:shd w:val="clear" w:color="auto" w:fill="E7E7E8"/>
          </w:tcPr>
          <w:p>
            <w:pPr>
              <w:spacing w:after="0" w:line="202" w:lineRule="exact"/>
              <w:rPr>
                <w:sz w:val="20"/>
                <w:szCs w:val="20"/>
                <w:color w:val="auto"/>
              </w:rPr>
            </w:pPr>
            <w:r>
              <w:rPr>
                <w:rFonts w:ascii="Arial" w:cs="Arial" w:eastAsia="Arial" w:hAnsi="Arial"/>
                <w:sz w:val="18"/>
                <w:szCs w:val="18"/>
                <w:color w:val="auto"/>
              </w:rPr>
              <w:t>Fair value per stock option</w:t>
            </w:r>
          </w:p>
        </w:tc>
        <w:tc>
          <w:tcPr>
            <w:tcW w:w="3020" w:type="dxa"/>
            <w:vAlign w:val="bottom"/>
            <w:tcBorders>
              <w:bottom w:val="single" w:sz="8" w:color="071D49"/>
            </w:tcBorders>
            <w:shd w:val="clear" w:color="auto" w:fill="E7E7E8"/>
          </w:tcPr>
          <w:p>
            <w:pPr>
              <w:jc w:val="right"/>
              <w:ind w:right="130"/>
              <w:spacing w:after="0" w:line="202" w:lineRule="exact"/>
              <w:rPr>
                <w:sz w:val="20"/>
                <w:szCs w:val="20"/>
                <w:color w:val="auto"/>
              </w:rPr>
            </w:pPr>
            <w:r>
              <w:rPr>
                <w:rFonts w:ascii="Arial" w:cs="Arial" w:eastAsia="Arial" w:hAnsi="Arial"/>
                <w:sz w:val="18"/>
                <w:szCs w:val="18"/>
                <w:color w:val="auto"/>
              </w:rPr>
              <w:t>$   16.28</w:t>
            </w:r>
          </w:p>
        </w:tc>
      </w:tr>
    </w:tbl>
    <w:p>
      <w:pPr>
        <w:spacing w:after="0" w:line="215" w:lineRule="exact"/>
        <w:rPr>
          <w:sz w:val="20"/>
          <w:szCs w:val="20"/>
          <w:color w:val="auto"/>
        </w:rPr>
      </w:pPr>
    </w:p>
    <w:p>
      <w:pPr>
        <w:ind w:left="321" w:right="240" w:hanging="321"/>
        <w:spacing w:after="0"/>
        <w:tabs>
          <w:tab w:leader="none" w:pos="32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compensation reported in this column for 2021 was earned as a performance-based incentive award pursuant to the AbbVie Performance Incentive Plan. Additional information regarding the plan can be found in the Compensation Plan Elements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-539750</wp:posOffset>
            </wp:positionV>
            <wp:extent cx="874395" cy="162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54" w:name="page55"/>
    <w:bookmarkEnd w:id="54"/>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right="200" w:hanging="321"/>
        <w:spacing w:after="0" w:line="238" w:lineRule="auto"/>
        <w:tabs>
          <w:tab w:leader="none" w:pos="32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plan amounts shown below are reported in this column, except as described in this paragraph. The amounts shown beside each NEO’s name are for 2021, 2020, and 2019, respectively, as applicable. Negative amounts under the AbbVie Pension Plan and the AbbVie Supplemental Pension Plan are excluded from this column in accordance with SEC rules.</w:t>
      </w:r>
    </w:p>
    <w:p>
      <w:pPr>
        <w:spacing w:after="0" w:line="186"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8"/>
          <w:szCs w:val="18"/>
          <w:i w:val="1"/>
          <w:iCs w:val="1"/>
          <w:color w:val="auto"/>
        </w:rPr>
        <w:t>AbbVie Pension Plan</w:t>
      </w:r>
    </w:p>
    <w:p>
      <w:pPr>
        <w:spacing w:after="0" w:line="225"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8"/>
          <w:szCs w:val="18"/>
          <w:color w:val="auto"/>
        </w:rPr>
        <w:t>R. Gonzalez: $(9,939) / $8,696 / $(8,305); R. Michael: $30,894 / $214,038 / $246,392; L. Schumacher: $66,444</w:t>
      </w:r>
    </w:p>
    <w:p>
      <w:pPr>
        <w:ind w:left="321"/>
        <w:spacing w:after="0"/>
        <w:rPr>
          <w:rFonts w:ascii="Arial" w:cs="Arial" w:eastAsia="Arial" w:hAnsi="Arial"/>
          <w:sz w:val="18"/>
          <w:szCs w:val="18"/>
          <w:color w:val="auto"/>
        </w:rPr>
      </w:pPr>
      <w:r>
        <w:rPr>
          <w:rFonts w:ascii="Arial" w:cs="Arial" w:eastAsia="Arial" w:hAnsi="Arial"/>
          <w:sz w:val="18"/>
          <w:szCs w:val="18"/>
          <w:color w:val="auto"/>
        </w:rPr>
        <w:t>/ $219,159 / $318,167; M. Severino: $34,910 / $58,277 / $57,916; and J. Stewart: $37,175.</w:t>
      </w:r>
    </w:p>
    <w:p>
      <w:pPr>
        <w:spacing w:after="0" w:line="194" w:lineRule="exact"/>
        <w:rPr>
          <w:sz w:val="20"/>
          <w:szCs w:val="20"/>
          <w:color w:val="auto"/>
        </w:rPr>
      </w:pPr>
    </w:p>
    <w:p>
      <w:pPr>
        <w:ind w:left="321"/>
        <w:spacing w:after="0"/>
        <w:rPr>
          <w:sz w:val="20"/>
          <w:szCs w:val="20"/>
          <w:color w:val="auto"/>
        </w:rPr>
      </w:pPr>
      <w:r>
        <w:rPr>
          <w:rFonts w:ascii="Arial" w:cs="Arial" w:eastAsia="Arial" w:hAnsi="Arial"/>
          <w:sz w:val="18"/>
          <w:szCs w:val="18"/>
          <w:i w:val="1"/>
          <w:iCs w:val="1"/>
          <w:color w:val="auto"/>
        </w:rPr>
        <w:t>AbbVie Supplemental Pension Plan</w:t>
      </w:r>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auto"/>
        </w:rPr>
        <w:t>R. Gonzalez: $(1,096,337) / $1,298,329 / $2,485,115; R. Michael: $2,494,946 / $3,357,820 / $2,375,716;</w:t>
      </w:r>
    </w:p>
    <w:p>
      <w:pPr>
        <w:ind w:left="321" w:firstLine="3"/>
        <w:spacing w:after="0" w:line="246" w:lineRule="auto"/>
        <w:tabs>
          <w:tab w:leader="none" w:pos="5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Schumacher: $1,773,374 / $4,235,519 / $5,040,017; M. Severino: $966,311 / $1,416,157 / $1,127,049; and J. Stewart: $1,899,249.</w:t>
      </w:r>
    </w:p>
    <w:p>
      <w:pPr>
        <w:spacing w:after="0" w:line="197" w:lineRule="exact"/>
        <w:rPr>
          <w:sz w:val="20"/>
          <w:szCs w:val="20"/>
          <w:color w:val="auto"/>
        </w:rPr>
      </w:pPr>
    </w:p>
    <w:p>
      <w:pPr>
        <w:ind w:left="321"/>
        <w:spacing w:after="0" w:line="238" w:lineRule="auto"/>
        <w:rPr>
          <w:sz w:val="20"/>
          <w:szCs w:val="20"/>
          <w:color w:val="auto"/>
        </w:rPr>
      </w:pPr>
      <w:r>
        <w:rPr>
          <w:rFonts w:ascii="Arial" w:cs="Arial" w:eastAsia="Arial" w:hAnsi="Arial"/>
          <w:sz w:val="18"/>
          <w:szCs w:val="18"/>
          <w:color w:val="auto"/>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spacing w:after="0" w:line="187" w:lineRule="exact"/>
        <w:rPr>
          <w:sz w:val="20"/>
          <w:szCs w:val="20"/>
          <w:color w:val="auto"/>
        </w:rPr>
      </w:pPr>
    </w:p>
    <w:p>
      <w:pPr>
        <w:ind w:left="321"/>
        <w:spacing w:after="0"/>
        <w:rPr>
          <w:sz w:val="20"/>
          <w:szCs w:val="20"/>
          <w:color w:val="auto"/>
        </w:rPr>
      </w:pPr>
      <w:r>
        <w:rPr>
          <w:rFonts w:ascii="Arial" w:cs="Arial" w:eastAsia="Arial" w:hAnsi="Arial"/>
          <w:sz w:val="18"/>
          <w:szCs w:val="18"/>
          <w:i w:val="1"/>
          <w:iCs w:val="1"/>
          <w:color w:val="auto"/>
        </w:rPr>
        <w:t>Non-Qualified Defined Contribution Plan Earnings</w:t>
      </w:r>
    </w:p>
    <w:p>
      <w:pPr>
        <w:spacing w:after="0" w:line="230" w:lineRule="exact"/>
        <w:rPr>
          <w:sz w:val="20"/>
          <w:szCs w:val="20"/>
          <w:color w:val="auto"/>
        </w:rPr>
      </w:pPr>
    </w:p>
    <w:p>
      <w:pPr>
        <w:ind w:left="321" w:right="120"/>
        <w:spacing w:after="0" w:line="246" w:lineRule="auto"/>
        <w:rPr>
          <w:sz w:val="20"/>
          <w:szCs w:val="20"/>
          <w:color w:val="auto"/>
        </w:rPr>
      </w:pPr>
      <w:r>
        <w:rPr>
          <w:rFonts w:ascii="Arial" w:cs="Arial" w:eastAsia="Arial" w:hAnsi="Arial"/>
          <w:sz w:val="18"/>
          <w:szCs w:val="18"/>
          <w:color w:val="auto"/>
        </w:rPr>
        <w:t>The totals in this column include reportable interest credited under the AbbVie Performance Incentive Plan and the AbbVie Supplemental Savings Plan.</w:t>
      </w:r>
    </w:p>
    <w:p>
      <w:pPr>
        <w:spacing w:after="0" w:line="192" w:lineRule="exact"/>
        <w:rPr>
          <w:sz w:val="20"/>
          <w:szCs w:val="20"/>
          <w:color w:val="auto"/>
        </w:rPr>
      </w:pPr>
    </w:p>
    <w:p>
      <w:pPr>
        <w:ind w:left="321"/>
        <w:spacing w:after="0"/>
        <w:rPr>
          <w:sz w:val="20"/>
          <w:szCs w:val="20"/>
          <w:color w:val="auto"/>
        </w:rPr>
      </w:pPr>
      <w:r>
        <w:rPr>
          <w:rFonts w:ascii="Arial" w:cs="Arial" w:eastAsia="Arial" w:hAnsi="Arial"/>
          <w:sz w:val="18"/>
          <w:szCs w:val="18"/>
          <w:color w:val="auto"/>
        </w:rPr>
        <w:t>R. Gonzalez: $780,933 / $917,110 / $889,910; L. Schumacher: $1,072,880 / $1,262,024 / $1,221,256;</w:t>
      </w:r>
    </w:p>
    <w:p>
      <w:pPr>
        <w:ind w:left="321"/>
        <w:spacing w:after="0"/>
        <w:rPr>
          <w:sz w:val="20"/>
          <w:szCs w:val="20"/>
          <w:color w:val="auto"/>
        </w:rPr>
      </w:pPr>
      <w:r>
        <w:rPr>
          <w:rFonts w:ascii="Arial" w:cs="Arial" w:eastAsia="Arial" w:hAnsi="Arial"/>
          <w:sz w:val="18"/>
          <w:szCs w:val="18"/>
          <w:color w:val="auto"/>
        </w:rPr>
        <w:t>M. Severino: $436,086 / $436,551 / $340,126; and J. Stewart: $276,474.</w:t>
      </w:r>
    </w:p>
    <w:p>
      <w:pPr>
        <w:spacing w:after="0" w:line="211" w:lineRule="exact"/>
        <w:rPr>
          <w:sz w:val="20"/>
          <w:szCs w:val="20"/>
          <w:color w:val="auto"/>
        </w:rPr>
      </w:pPr>
    </w:p>
    <w:p>
      <w:pPr>
        <w:ind w:left="321" w:right="180" w:hanging="321"/>
        <w:spacing w:after="0"/>
        <w:tabs>
          <w:tab w:leader="none" w:pos="3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p>
      <w:pPr>
        <w:spacing w:after="0" w:line="202" w:lineRule="exact"/>
        <w:rPr>
          <w:rFonts w:ascii="Arial" w:cs="Arial" w:eastAsia="Arial" w:hAnsi="Arial"/>
          <w:sz w:val="18"/>
          <w:szCs w:val="18"/>
          <w:color w:val="auto"/>
        </w:rPr>
      </w:pPr>
    </w:p>
    <w:p>
      <w:pPr>
        <w:ind w:left="321"/>
        <w:spacing w:after="0" w:line="236" w:lineRule="auto"/>
        <w:rPr>
          <w:rFonts w:ascii="Arial" w:cs="Arial" w:eastAsia="Arial" w:hAnsi="Arial"/>
          <w:sz w:val="18"/>
          <w:szCs w:val="18"/>
          <w:color w:val="auto"/>
        </w:rPr>
      </w:pPr>
      <w:r>
        <w:rPr>
          <w:rFonts w:ascii="Arial" w:cs="Arial" w:eastAsia="Arial" w:hAnsi="Arial"/>
          <w:sz w:val="18"/>
          <w:szCs w:val="18"/>
          <w:color w:val="auto"/>
        </w:rPr>
        <w:t>The present value of a pension benefit is determined, in part, by the discount rate used for accounting purposes. The discount rate is determined by reference to the prevailing market rate of interest. In 2021, interest rates increased and the discount rates used for the Pension Plan and the Supplemental Pension Plan were increased to reflect that change. An increase in the discount rate decreases the present value of participants’ pension benefits while actual payments to be made to participants are not changed. The discount rate used for 2021 was 3.25% for the Pension Plan and 3.21% for the Supplemental Pension Plan. The discount rate used for 2020 was 3.02% for the Pension Plan and 2.94% for the Supplemental Pension Plan, while the discount rate used for 2019 was 3.56% for the Pension Plan and 3.51% for the Supplemental Pension Plan. The mortality assumptions that apply for actuarial purposes also affect pension values.</w:t>
      </w:r>
    </w:p>
    <w:p>
      <w:pPr>
        <w:spacing w:after="0" w:line="206" w:lineRule="exact"/>
        <w:rPr>
          <w:rFonts w:ascii="Arial" w:cs="Arial" w:eastAsia="Arial" w:hAnsi="Arial"/>
          <w:sz w:val="18"/>
          <w:szCs w:val="18"/>
          <w:color w:val="auto"/>
        </w:rPr>
      </w:pPr>
    </w:p>
    <w:p>
      <w:pPr>
        <w:ind w:left="321" w:right="20"/>
        <w:spacing w:after="0" w:line="237" w:lineRule="auto"/>
        <w:rPr>
          <w:rFonts w:ascii="Arial" w:cs="Arial" w:eastAsia="Arial" w:hAnsi="Arial"/>
          <w:sz w:val="18"/>
          <w:szCs w:val="18"/>
          <w:color w:val="auto"/>
        </w:rPr>
      </w:pPr>
      <w:r>
        <w:rPr>
          <w:rFonts w:ascii="Arial" w:cs="Arial" w:eastAsia="Arial" w:hAnsi="Arial"/>
          <w:sz w:val="18"/>
          <w:szCs w:val="18"/>
          <w:color w:val="auto"/>
        </w:rPr>
        <w:t>In addition to the effect of the changes in actuarial assumptions, other factors built into the plans contributed to the change in pension value. The change in pension value numbers reflect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his or her pension benefits increases, even without changes in pay or actuarial assumptions.</w:t>
      </w:r>
    </w:p>
    <w:p>
      <w:pPr>
        <w:spacing w:after="0" w:line="202" w:lineRule="exact"/>
        <w:rPr>
          <w:rFonts w:ascii="Arial" w:cs="Arial" w:eastAsia="Arial" w:hAnsi="Arial"/>
          <w:sz w:val="18"/>
          <w:szCs w:val="18"/>
          <w:color w:val="auto"/>
        </w:rPr>
      </w:pPr>
    </w:p>
    <w:p>
      <w:pPr>
        <w:ind w:left="321" w:hanging="321"/>
        <w:spacing w:after="0"/>
        <w:tabs>
          <w:tab w:leader="none" w:pos="3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shown below are reported in this column for 2021, 2020 and 2019, respectively, as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874395" cy="1625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EXECUTIVE COMPENSATION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Earnings for Non-Qualified Defined Benefit and Non-Qualified Defined Contribution Plans</w:t>
      </w:r>
    </w:p>
    <w:p>
      <w:pPr>
        <w:spacing w:after="0" w:line="230" w:lineRule="exact"/>
        <w:rPr>
          <w:sz w:val="20"/>
          <w:szCs w:val="20"/>
          <w:color w:val="auto"/>
        </w:rPr>
      </w:pPr>
    </w:p>
    <w:p>
      <w:pPr>
        <w:ind w:left="320" w:right="220" w:firstLine="3"/>
        <w:spacing w:after="0" w:line="246" w:lineRule="auto"/>
        <w:tabs>
          <w:tab w:leader="none" w:pos="5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Gonzalez: $130,314 / $212,566 / $372,310; L. Schumacher: $182,495 / $341,999 / $621,724; M. Severino: $79,790 / $100,398 / $135,497; and J. Stewart: $46,571.</w:t>
      </w:r>
    </w:p>
    <w:p>
      <w:pPr>
        <w:spacing w:after="0" w:line="197" w:lineRule="exact"/>
        <w:rPr>
          <w:sz w:val="20"/>
          <w:szCs w:val="20"/>
          <w:color w:val="auto"/>
        </w:rPr>
      </w:pPr>
    </w:p>
    <w:p>
      <w:pPr>
        <w:ind w:left="320" w:right="100"/>
        <w:spacing w:after="0" w:line="238" w:lineRule="auto"/>
        <w:rPr>
          <w:sz w:val="20"/>
          <w:szCs w:val="20"/>
          <w:color w:val="auto"/>
        </w:rPr>
      </w:pPr>
      <w:r>
        <w:rPr>
          <w:rFonts w:ascii="Arial" w:cs="Arial" w:eastAsia="Arial" w:hAnsi="Arial"/>
          <w:sz w:val="18"/>
          <w:szCs w:val="18"/>
          <w:color w:val="auto"/>
        </w:rPr>
        <w:t>Each of the NEOs’ awards under the AbbVie Performance Incentive Plan is paid in cash to the NEO on a current basis and, for eligible NEOs, may be deposited into a grantor trust established by the NEO, net of maximum tax withholdings. Each of the eligible NEOs has also established grantor trusts in connection with the AbbVie Supplemental Pension Plan and the AbbVie Supplemental Savings Plan. These amounts include earnings net of the reportable interest included in footnote (4).</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Employer Contributions to Defined Contribution Plans</w:t>
      </w:r>
    </w:p>
    <w:p>
      <w:pPr>
        <w:spacing w:after="0" w:line="230" w:lineRule="exact"/>
        <w:rPr>
          <w:sz w:val="20"/>
          <w:szCs w:val="20"/>
          <w:color w:val="auto"/>
        </w:rPr>
      </w:pPr>
    </w:p>
    <w:p>
      <w:pPr>
        <w:ind w:left="320" w:right="140" w:firstLine="3"/>
        <w:spacing w:after="0" w:line="246" w:lineRule="auto"/>
        <w:tabs>
          <w:tab w:leader="none" w:pos="5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Gonzalez: $85,000 / $84,423 / $82,500; R. Michael: $14,500 / $14,250 / $14,000; L. Schumacher: $62,408 / $60,590 / $58,827; M. Severino: $70,552 / $68,496 / $66,500; and J. Stewart: $53,712.</w:t>
      </w:r>
    </w:p>
    <w:p>
      <w:pPr>
        <w:spacing w:after="0" w:line="197" w:lineRule="exact"/>
        <w:rPr>
          <w:sz w:val="20"/>
          <w:szCs w:val="20"/>
          <w:color w:val="auto"/>
        </w:rPr>
      </w:pPr>
    </w:p>
    <w:p>
      <w:pPr>
        <w:ind w:left="320" w:right="40"/>
        <w:spacing w:after="0" w:line="248" w:lineRule="auto"/>
        <w:rPr>
          <w:sz w:val="20"/>
          <w:szCs w:val="20"/>
          <w:color w:val="auto"/>
        </w:rPr>
      </w:pPr>
      <w:r>
        <w:rPr>
          <w:rFonts w:ascii="Arial" w:cs="Arial" w:eastAsia="Arial" w:hAnsi="Arial"/>
          <w:sz w:val="17"/>
          <w:szCs w:val="17"/>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w:t>
      </w:r>
    </w:p>
    <w:p>
      <w:pPr>
        <w:spacing w:after="0" w:line="2" w:lineRule="exact"/>
        <w:rPr>
          <w:sz w:val="20"/>
          <w:szCs w:val="20"/>
          <w:color w:val="auto"/>
        </w:rPr>
      </w:pPr>
    </w:p>
    <w:p>
      <w:pPr>
        <w:ind w:left="320" w:right="100" w:firstLine="3"/>
        <w:spacing w:after="0" w:line="238" w:lineRule="auto"/>
        <w:tabs>
          <w:tab w:leader="none" w:pos="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18 percent of their base salary over (ii) the amount contributed to AbbVie’s tax-qualified 401(k) plan. AbbVie matches participant contributions at the rate of 250 percent of the first 2 percent of compensation contributed to the plan. The eligible NEOs have these amounts paid to them in cash on a current basis and deposited into a grantor trust established by the NEO, net of maximum tax withholdings.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2021 Compensation</w:t>
      </w:r>
    </w:p>
    <w:p>
      <w:pPr>
        <w:spacing w:after="0" w:line="230" w:lineRule="exact"/>
        <w:rPr>
          <w:sz w:val="20"/>
          <w:szCs w:val="20"/>
          <w:color w:val="auto"/>
        </w:rPr>
      </w:pPr>
    </w:p>
    <w:p>
      <w:pPr>
        <w:ind w:left="320" w:right="200"/>
        <w:spacing w:after="0" w:line="238" w:lineRule="auto"/>
        <w:rPr>
          <w:sz w:val="20"/>
          <w:szCs w:val="20"/>
          <w:color w:val="auto"/>
        </w:rPr>
      </w:pPr>
      <w:r>
        <w:rPr>
          <w:rFonts w:ascii="Arial" w:cs="Arial" w:eastAsia="Arial" w:hAnsi="Arial"/>
          <w:sz w:val="18"/>
          <w:szCs w:val="18"/>
          <w:color w:val="auto"/>
        </w:rPr>
        <w:t>The totals shown in the table include the cost of providing a corporate automobile less the amount reimbursed by the NEO: R. Gonzalez: $24,178; R. Michael: $16,418; L. Schumacher: $21,552; M. Severino: $20,684; and J. Stewart: $18,718. AbbVie imputes income to the NEO, if required, and the NEO pays taxes in accordance with tax regulations without gross-ups.</w:t>
      </w:r>
    </w:p>
    <w:p>
      <w:pPr>
        <w:spacing w:after="0" w:line="205" w:lineRule="exact"/>
        <w:rPr>
          <w:sz w:val="20"/>
          <w:szCs w:val="20"/>
          <w:color w:val="auto"/>
        </w:rPr>
      </w:pPr>
    </w:p>
    <w:p>
      <w:pPr>
        <w:jc w:val="both"/>
        <w:ind w:left="320" w:right="360"/>
        <w:spacing w:after="0"/>
        <w:rPr>
          <w:sz w:val="20"/>
          <w:szCs w:val="20"/>
          <w:color w:val="auto"/>
        </w:rPr>
      </w:pPr>
      <w:r>
        <w:rPr>
          <w:rFonts w:ascii="Arial" w:cs="Arial" w:eastAsia="Arial" w:hAnsi="Arial"/>
          <w:sz w:val="18"/>
          <w:szCs w:val="18"/>
          <w:color w:val="auto"/>
        </w:rPr>
        <w:t>The totals shown in the table include a $10,000 financial planning services allowance for each NEO. AbbVie imputes income to the NEO, if required, and the NEO pays taxes in accordance with tax regulations without gross-ups.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totals shown in the table include the following costs for non-business-related air travel and services:</w:t>
      </w:r>
    </w:p>
    <w:p>
      <w:pPr>
        <w:ind w:left="320" w:right="80"/>
        <w:spacing w:after="0" w:line="238" w:lineRule="auto"/>
        <w:rPr>
          <w:sz w:val="20"/>
          <w:szCs w:val="20"/>
          <w:color w:val="auto"/>
        </w:rPr>
      </w:pPr>
      <w:r>
        <w:rPr>
          <w:rFonts w:ascii="Arial" w:cs="Arial" w:eastAsia="Arial" w:hAnsi="Arial"/>
          <w:sz w:val="18"/>
          <w:szCs w:val="18"/>
          <w:color w:val="auto"/>
        </w:rPr>
        <w:t>R. Gonzalez: $564,581; R. Michael: $20,471; and L. Schumacher: $15,116.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205" w:lineRule="exact"/>
        <w:rPr>
          <w:sz w:val="20"/>
          <w:szCs w:val="20"/>
          <w:color w:val="auto"/>
        </w:rPr>
      </w:pPr>
    </w:p>
    <w:p>
      <w:pPr>
        <w:ind w:left="320" w:right="80"/>
        <w:spacing w:after="0" w:line="246" w:lineRule="auto"/>
        <w:rPr>
          <w:sz w:val="20"/>
          <w:szCs w:val="20"/>
          <w:color w:val="auto"/>
        </w:rPr>
      </w:pPr>
      <w:r>
        <w:rPr>
          <w:rFonts w:ascii="Arial" w:cs="Arial" w:eastAsia="Arial" w:hAnsi="Arial"/>
          <w:sz w:val="18"/>
          <w:szCs w:val="18"/>
          <w:color w:val="auto"/>
        </w:rPr>
        <w:t>The NEOs also are eligible to participate in an executive disability benefit, which is described on page 62 of this proxy statement.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535"/>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56" w:name="page57"/>
    <w:bookmarkEnd w:id="5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6099"/>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REQUIRED PAY RATIO DISCLOSURE</w:t>
      </w:r>
    </w:p>
    <w:p>
      <w:pPr>
        <w:spacing w:after="0" w:line="193" w:lineRule="exact"/>
        <w:rPr>
          <w:sz w:val="20"/>
          <w:szCs w:val="20"/>
          <w:color w:val="auto"/>
        </w:rPr>
      </w:pPr>
    </w:p>
    <w:p>
      <w:pPr>
        <w:ind w:left="1" w:right="20"/>
        <w:spacing w:after="0" w:line="235"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 Richard Gonzalez. The pay ratio included in this information is a reasonable estimate calculated in a manner consistent with Regulation S-K Item 402(u). The ratio of Mr. Gonzalez’s annual total compensation for 2021, as reported in the Summary Compensation Table in this proxy statement, to the median employee annual total compensation determined on the same basis was 160:1. For 2021, the annual total compensation of our median employee (other than Mr. Gonzalez) was $149,662. To identify the median employee, we prepared a list of active AbbVie employees, including legacy Allergan employees, throughout the world as of December 31, 2021. The consistently applied compensation measure used to identify the median employee was annual base pay and target bonus, using hours worked during 2021 for hourly employees and base salary for the remaining employees. This process resulted in a median group consisting of several employees and a representative employee was selected, taking into account demographic characteristics that best represent a typical AbbVie employee, including tenure, location, employment status and applicable compensation and benefit programs.</w:t>
      </w:r>
    </w:p>
    <w:p>
      <w:pPr>
        <w:spacing w:after="0" w:line="218" w:lineRule="exact"/>
        <w:rPr>
          <w:sz w:val="20"/>
          <w:szCs w:val="20"/>
          <w:color w:val="auto"/>
        </w:rPr>
      </w:pPr>
    </w:p>
    <w:p>
      <w:pPr>
        <w:ind w:left="1"/>
        <w:spacing w:after="0"/>
        <w:rPr>
          <w:sz w:val="20"/>
          <w:szCs w:val="20"/>
          <w:color w:val="auto"/>
        </w:rPr>
      </w:pPr>
      <w:r>
        <w:rPr>
          <w:rFonts w:ascii="Arial" w:cs="Arial" w:eastAsia="Arial" w:hAnsi="Arial"/>
          <w:sz w:val="32"/>
          <w:szCs w:val="32"/>
          <w:color w:val="auto"/>
        </w:rPr>
        <w:t>2021 Grants of Plan-Based Awards</w:t>
      </w:r>
    </w:p>
    <w:p>
      <w:pPr>
        <w:spacing w:after="0" w:line="221" w:lineRule="exact"/>
        <w:rPr>
          <w:sz w:val="20"/>
          <w:szCs w:val="20"/>
          <w:color w:val="auto"/>
        </w:rPr>
      </w:pPr>
    </w:p>
    <w:p>
      <w:pPr>
        <w:ind w:left="1" w:right="20"/>
        <w:spacing w:after="0" w:line="246" w:lineRule="auto"/>
        <w:rPr>
          <w:sz w:val="20"/>
          <w:szCs w:val="20"/>
          <w:color w:val="auto"/>
        </w:rPr>
      </w:pPr>
      <w:r>
        <w:rPr>
          <w:rFonts w:ascii="Arial" w:cs="Arial" w:eastAsia="Arial" w:hAnsi="Arial"/>
          <w:sz w:val="18"/>
          <w:szCs w:val="18"/>
          <w:color w:val="auto"/>
        </w:rPr>
        <w:t>The following table summarizes the equity awards granted under the AbbVie Amended and Restated 2013 Incentive Stock Program to the NEOs during 2021.</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454968"/>
              </w:rPr>
              <w:t>Estimated</w:t>
            </w:r>
          </w:p>
        </w:tc>
        <w:tc>
          <w:tcPr>
            <w:tcW w:w="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454968"/>
              </w:rPr>
              <w:t>Future</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380"/>
              <w:spacing w:after="0" w:line="135" w:lineRule="exact"/>
              <w:rPr>
                <w:sz w:val="20"/>
                <w:szCs w:val="20"/>
                <w:color w:val="auto"/>
              </w:rPr>
            </w:pPr>
            <w:r>
              <w:rPr>
                <w:rFonts w:ascii="Arial" w:cs="Arial" w:eastAsia="Arial" w:hAnsi="Arial"/>
                <w:sz w:val="13"/>
                <w:szCs w:val="13"/>
                <w:b w:val="1"/>
                <w:bCs w:val="1"/>
                <w:color w:val="454968"/>
              </w:rPr>
              <w:t>Payouts</w:t>
            </w:r>
          </w:p>
        </w:tc>
        <w:tc>
          <w:tcPr>
            <w:tcW w:w="96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454968"/>
              </w:rPr>
              <w:t>All Other</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Estimated Future</w:t>
            </w:r>
          </w:p>
        </w:tc>
        <w:tc>
          <w:tcPr>
            <w:tcW w:w="11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454968"/>
              </w:rPr>
              <w:t>Under</w:t>
            </w:r>
          </w:p>
        </w:tc>
        <w:tc>
          <w:tcPr>
            <w:tcW w:w="96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454968"/>
              </w:rPr>
              <w:t>Option</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Payouts Under</w:t>
            </w:r>
          </w:p>
        </w:tc>
        <w:tc>
          <w:tcPr>
            <w:tcW w:w="11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454968"/>
              </w:rPr>
              <w:t>Equity</w:t>
            </w:r>
          </w:p>
        </w:tc>
        <w:tc>
          <w:tcPr>
            <w:tcW w:w="96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454968"/>
              </w:rPr>
              <w:t>Awards:</w:t>
            </w:r>
          </w:p>
        </w:tc>
        <w:tc>
          <w:tcPr>
            <w:tcW w:w="84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454968"/>
              </w:rPr>
              <w:t>Exercise</w:t>
            </w: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Non-Equity</w:t>
            </w:r>
          </w:p>
        </w:tc>
        <w:tc>
          <w:tcPr>
            <w:tcW w:w="11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454968"/>
              </w:rPr>
              <w:t>Incentive</w:t>
            </w:r>
          </w:p>
        </w:tc>
        <w:tc>
          <w:tcPr>
            <w:tcW w:w="96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454968"/>
                <w:w w:val="99"/>
              </w:rPr>
              <w:t>Numbers of</w:t>
            </w:r>
          </w:p>
        </w:tc>
        <w:tc>
          <w:tcPr>
            <w:tcW w:w="84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454968"/>
              </w:rPr>
              <w:t>or Base</w:t>
            </w:r>
          </w:p>
        </w:tc>
        <w:tc>
          <w:tcPr>
            <w:tcW w:w="980" w:type="dxa"/>
            <w:vAlign w:val="bottom"/>
          </w:tcPr>
          <w:p>
            <w:pPr>
              <w:jc w:val="right"/>
              <w:ind w:right="129"/>
              <w:spacing w:after="0" w:line="135" w:lineRule="exact"/>
              <w:rPr>
                <w:sz w:val="20"/>
                <w:szCs w:val="20"/>
                <w:color w:val="auto"/>
              </w:rPr>
            </w:pPr>
            <w:r>
              <w:rPr>
                <w:rFonts w:ascii="Arial" w:cs="Arial" w:eastAsia="Arial" w:hAnsi="Arial"/>
                <w:sz w:val="13"/>
                <w:szCs w:val="13"/>
                <w:b w:val="1"/>
                <w:bCs w:val="1"/>
                <w:color w:val="454968"/>
              </w:rPr>
              <w:t>Closing</w:t>
            </w:r>
          </w:p>
        </w:tc>
        <w:tc>
          <w:tcPr>
            <w:tcW w:w="108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Grant Date</w:t>
            </w:r>
          </w:p>
        </w:tc>
        <w:tc>
          <w:tcPr>
            <w:tcW w:w="2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w w:val="96"/>
              </w:rPr>
              <w:t>Incentive Plan</w:t>
            </w:r>
          </w:p>
        </w:tc>
        <w:tc>
          <w:tcPr>
            <w:tcW w:w="1100" w:type="dxa"/>
            <w:vAlign w:val="bottom"/>
          </w:tcPr>
          <w:p>
            <w:pPr>
              <w:jc w:val="right"/>
              <w:ind w:right="173"/>
              <w:spacing w:after="0" w:line="135" w:lineRule="exact"/>
              <w:rPr>
                <w:sz w:val="20"/>
                <w:szCs w:val="20"/>
                <w:color w:val="auto"/>
              </w:rPr>
            </w:pPr>
            <w:r>
              <w:rPr>
                <w:rFonts w:ascii="Arial" w:cs="Arial" w:eastAsia="Arial" w:hAnsi="Arial"/>
                <w:sz w:val="13"/>
                <w:szCs w:val="13"/>
                <w:b w:val="1"/>
                <w:bCs w:val="1"/>
                <w:color w:val="454968"/>
              </w:rPr>
              <w:t>Plan</w:t>
            </w:r>
          </w:p>
        </w:tc>
        <w:tc>
          <w:tcPr>
            <w:tcW w:w="96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454968"/>
              </w:rPr>
              <w:t>Securities</w:t>
            </w:r>
          </w:p>
        </w:tc>
        <w:tc>
          <w:tcPr>
            <w:tcW w:w="84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454968"/>
              </w:rPr>
              <w:t>Price of</w:t>
            </w:r>
          </w:p>
        </w:tc>
        <w:tc>
          <w:tcPr>
            <w:tcW w:w="980" w:type="dxa"/>
            <w:vAlign w:val="bottom"/>
          </w:tcPr>
          <w:p>
            <w:pPr>
              <w:jc w:val="right"/>
              <w:ind w:right="129"/>
              <w:spacing w:after="0" w:line="135" w:lineRule="exact"/>
              <w:rPr>
                <w:sz w:val="20"/>
                <w:szCs w:val="20"/>
                <w:color w:val="auto"/>
              </w:rPr>
            </w:pPr>
            <w:r>
              <w:rPr>
                <w:rFonts w:ascii="Arial" w:cs="Arial" w:eastAsia="Arial" w:hAnsi="Arial"/>
                <w:sz w:val="13"/>
                <w:szCs w:val="13"/>
                <w:b w:val="1"/>
                <w:bCs w:val="1"/>
                <w:color w:val="454968"/>
              </w:rPr>
              <w:t>Market</w:t>
            </w:r>
          </w:p>
        </w:tc>
        <w:tc>
          <w:tcPr>
            <w:tcW w:w="108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Fair Value</w:t>
            </w:r>
          </w:p>
        </w:tc>
        <w:tc>
          <w:tcPr>
            <w:tcW w:w="260" w:type="dxa"/>
            <w:vAlign w:val="bottom"/>
          </w:tcPr>
          <w:p>
            <w:pPr>
              <w:spacing w:after="0"/>
              <w:rPr>
                <w:sz w:val="11"/>
                <w:szCs w:val="11"/>
                <w:color w:val="auto"/>
              </w:rPr>
            </w:pPr>
          </w:p>
        </w:tc>
      </w:tr>
      <w:tr>
        <w:trPr>
          <w:trHeight w:val="157"/>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Borders>
              <w:bottom w:val="single" w:sz="8" w:color="071D49"/>
            </w:tcBorders>
          </w:tcPr>
          <w:p>
            <w:pPr>
              <w:spacing w:after="0"/>
              <w:rPr>
                <w:sz w:val="13"/>
                <w:szCs w:val="13"/>
                <w:color w:val="auto"/>
              </w:rPr>
            </w:pPr>
          </w:p>
        </w:tc>
        <w:tc>
          <w:tcPr>
            <w:tcW w:w="900" w:type="dxa"/>
            <w:vAlign w:val="bottom"/>
            <w:tcBorders>
              <w:bottom w:val="single" w:sz="8" w:color="071D49"/>
            </w:tcBorders>
          </w:tcPr>
          <w:p>
            <w:pPr>
              <w:jc w:val="right"/>
              <w:spacing w:after="0" w:line="157" w:lineRule="exact"/>
              <w:rPr>
                <w:sz w:val="20"/>
                <w:szCs w:val="20"/>
                <w:color w:val="auto"/>
              </w:rPr>
            </w:pPr>
            <w:r>
              <w:rPr>
                <w:rFonts w:ascii="Arial" w:cs="Arial" w:eastAsia="Arial" w:hAnsi="Arial"/>
                <w:sz w:val="13"/>
                <w:szCs w:val="13"/>
                <w:b w:val="1"/>
                <w:bCs w:val="1"/>
                <w:color w:val="454968"/>
              </w:rPr>
              <w:t>Awards</w:t>
            </w:r>
            <w:r>
              <w:rPr>
                <w:rFonts w:ascii="Arial" w:cs="Arial" w:eastAsia="Arial" w:hAnsi="Arial"/>
                <w:sz w:val="18"/>
                <w:szCs w:val="18"/>
                <w:b w:val="1"/>
                <w:bCs w:val="1"/>
                <w:color w:val="454968"/>
                <w:vertAlign w:val="superscript"/>
              </w:rPr>
              <w:t>(1)</w:t>
            </w: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454968"/>
              </w:rPr>
              <w:t>Awards</w:t>
            </w:r>
          </w:p>
        </w:tc>
        <w:tc>
          <w:tcPr>
            <w:tcW w:w="960" w:type="dxa"/>
            <w:vAlign w:val="bottom"/>
          </w:tcPr>
          <w:p>
            <w:pPr>
              <w:jc w:val="right"/>
              <w:ind w:right="153"/>
              <w:spacing w:after="0"/>
              <w:rPr>
                <w:sz w:val="20"/>
                <w:szCs w:val="20"/>
                <w:color w:val="auto"/>
              </w:rPr>
            </w:pPr>
            <w:r>
              <w:rPr>
                <w:rFonts w:ascii="Arial" w:cs="Arial" w:eastAsia="Arial" w:hAnsi="Arial"/>
                <w:sz w:val="13"/>
                <w:szCs w:val="13"/>
                <w:b w:val="1"/>
                <w:bCs w:val="1"/>
                <w:color w:val="454968"/>
              </w:rPr>
              <w:t>Underlying</w:t>
            </w:r>
          </w:p>
        </w:tc>
        <w:tc>
          <w:tcPr>
            <w:tcW w:w="840" w:type="dxa"/>
            <w:vAlign w:val="bottom"/>
          </w:tcPr>
          <w:p>
            <w:pPr>
              <w:jc w:val="right"/>
              <w:ind w:right="69"/>
              <w:spacing w:after="0"/>
              <w:rPr>
                <w:sz w:val="20"/>
                <w:szCs w:val="20"/>
                <w:color w:val="auto"/>
              </w:rPr>
            </w:pPr>
            <w:r>
              <w:rPr>
                <w:rFonts w:ascii="Arial" w:cs="Arial" w:eastAsia="Arial" w:hAnsi="Arial"/>
                <w:sz w:val="13"/>
                <w:szCs w:val="13"/>
                <w:b w:val="1"/>
                <w:bCs w:val="1"/>
                <w:color w:val="454968"/>
              </w:rPr>
              <w:t>Option</w:t>
            </w:r>
          </w:p>
        </w:tc>
        <w:tc>
          <w:tcPr>
            <w:tcW w:w="980" w:type="dxa"/>
            <w:vAlign w:val="bottom"/>
          </w:tcPr>
          <w:p>
            <w:pPr>
              <w:jc w:val="right"/>
              <w:ind w:right="129"/>
              <w:spacing w:after="0"/>
              <w:rPr>
                <w:sz w:val="20"/>
                <w:szCs w:val="20"/>
                <w:color w:val="auto"/>
              </w:rPr>
            </w:pPr>
            <w:r>
              <w:rPr>
                <w:rFonts w:ascii="Arial" w:cs="Arial" w:eastAsia="Arial" w:hAnsi="Arial"/>
                <w:sz w:val="13"/>
                <w:szCs w:val="13"/>
                <w:b w:val="1"/>
                <w:bCs w:val="1"/>
                <w:color w:val="454968"/>
              </w:rPr>
              <w:t>Price on</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454968"/>
              </w:rPr>
              <w:t>of Stock</w:t>
            </w:r>
          </w:p>
        </w:tc>
        <w:tc>
          <w:tcPr>
            <w:tcW w:w="260" w:type="dxa"/>
            <w:vAlign w:val="bottom"/>
          </w:tcPr>
          <w:p>
            <w:pPr>
              <w:spacing w:after="0"/>
              <w:rPr>
                <w:sz w:val="13"/>
                <w:szCs w:val="13"/>
                <w:color w:val="auto"/>
              </w:rPr>
            </w:pPr>
          </w:p>
        </w:tc>
      </w:tr>
      <w:tr>
        <w:trPr>
          <w:trHeight w:val="107"/>
        </w:trPr>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right"/>
              <w:ind w:right="260"/>
              <w:spacing w:after="0" w:line="107" w:lineRule="exact"/>
              <w:rPr>
                <w:sz w:val="20"/>
                <w:szCs w:val="20"/>
                <w:color w:val="auto"/>
              </w:rPr>
            </w:pPr>
            <w:r>
              <w:rPr>
                <w:rFonts w:ascii="Arial" w:cs="Arial" w:eastAsia="Arial" w:hAnsi="Arial"/>
                <w:sz w:val="12"/>
                <w:szCs w:val="12"/>
                <w:b w:val="1"/>
                <w:bCs w:val="1"/>
                <w:color w:val="454968"/>
              </w:rPr>
              <w:t>Grant</w:t>
            </w:r>
          </w:p>
        </w:tc>
        <w:tc>
          <w:tcPr>
            <w:tcW w:w="380" w:type="dxa"/>
            <w:vAlign w:val="bottom"/>
          </w:tcPr>
          <w:p>
            <w:pPr>
              <w:jc w:val="right"/>
              <w:spacing w:after="0" w:line="107" w:lineRule="exact"/>
              <w:rPr>
                <w:sz w:val="20"/>
                <w:szCs w:val="20"/>
                <w:color w:val="auto"/>
              </w:rPr>
            </w:pPr>
            <w:r>
              <w:rPr>
                <w:rFonts w:ascii="Arial" w:cs="Arial" w:eastAsia="Arial" w:hAnsi="Arial"/>
                <w:sz w:val="12"/>
                <w:szCs w:val="12"/>
                <w:b w:val="1"/>
                <w:bCs w:val="1"/>
                <w:color w:val="454968"/>
                <w:w w:val="98"/>
              </w:rPr>
              <w:t>Target</w:t>
            </w:r>
          </w:p>
        </w:tc>
        <w:tc>
          <w:tcPr>
            <w:tcW w:w="900" w:type="dxa"/>
            <w:vAlign w:val="bottom"/>
          </w:tcPr>
          <w:p>
            <w:pPr>
              <w:jc w:val="right"/>
              <w:spacing w:after="0" w:line="107" w:lineRule="exact"/>
              <w:rPr>
                <w:sz w:val="20"/>
                <w:szCs w:val="20"/>
                <w:color w:val="auto"/>
              </w:rPr>
            </w:pPr>
            <w:r>
              <w:rPr>
                <w:rFonts w:ascii="Arial" w:cs="Arial" w:eastAsia="Arial" w:hAnsi="Arial"/>
                <w:sz w:val="12"/>
                <w:szCs w:val="12"/>
                <w:b w:val="1"/>
                <w:bCs w:val="1"/>
                <w:color w:val="454968"/>
              </w:rPr>
              <w:t>Maximum</w:t>
            </w:r>
          </w:p>
        </w:tc>
        <w:tc>
          <w:tcPr>
            <w:tcW w:w="1100" w:type="dxa"/>
            <w:vAlign w:val="bottom"/>
          </w:tcPr>
          <w:p>
            <w:pPr>
              <w:jc w:val="right"/>
              <w:ind w:right="173"/>
              <w:spacing w:after="0" w:line="107" w:lineRule="exact"/>
              <w:rPr>
                <w:sz w:val="20"/>
                <w:szCs w:val="20"/>
                <w:color w:val="auto"/>
              </w:rPr>
            </w:pPr>
            <w:r>
              <w:rPr>
                <w:rFonts w:ascii="Arial" w:cs="Arial" w:eastAsia="Arial" w:hAnsi="Arial"/>
                <w:sz w:val="12"/>
                <w:szCs w:val="12"/>
                <w:b w:val="1"/>
                <w:bCs w:val="1"/>
                <w:color w:val="454968"/>
              </w:rPr>
              <w:t>Target</w:t>
            </w:r>
          </w:p>
        </w:tc>
        <w:tc>
          <w:tcPr>
            <w:tcW w:w="960" w:type="dxa"/>
            <w:vAlign w:val="bottom"/>
          </w:tcPr>
          <w:p>
            <w:pPr>
              <w:jc w:val="right"/>
              <w:ind w:right="153"/>
              <w:spacing w:after="0" w:line="107" w:lineRule="exact"/>
              <w:rPr>
                <w:sz w:val="20"/>
                <w:szCs w:val="20"/>
                <w:color w:val="auto"/>
              </w:rPr>
            </w:pPr>
            <w:r>
              <w:rPr>
                <w:rFonts w:ascii="Arial" w:cs="Arial" w:eastAsia="Arial" w:hAnsi="Arial"/>
                <w:sz w:val="12"/>
                <w:szCs w:val="12"/>
                <w:b w:val="1"/>
                <w:bCs w:val="1"/>
                <w:color w:val="454968"/>
              </w:rPr>
              <w:t>Options</w:t>
            </w:r>
          </w:p>
        </w:tc>
        <w:tc>
          <w:tcPr>
            <w:tcW w:w="840" w:type="dxa"/>
            <w:vAlign w:val="bottom"/>
          </w:tcPr>
          <w:p>
            <w:pPr>
              <w:jc w:val="right"/>
              <w:ind w:right="69"/>
              <w:spacing w:after="0" w:line="107" w:lineRule="exact"/>
              <w:rPr>
                <w:sz w:val="20"/>
                <w:szCs w:val="20"/>
                <w:color w:val="auto"/>
              </w:rPr>
            </w:pPr>
            <w:r>
              <w:rPr>
                <w:rFonts w:ascii="Arial" w:cs="Arial" w:eastAsia="Arial" w:hAnsi="Arial"/>
                <w:sz w:val="12"/>
                <w:szCs w:val="12"/>
                <w:b w:val="1"/>
                <w:bCs w:val="1"/>
                <w:color w:val="454968"/>
              </w:rPr>
              <w:t>Awards</w:t>
            </w:r>
          </w:p>
        </w:tc>
        <w:tc>
          <w:tcPr>
            <w:tcW w:w="980" w:type="dxa"/>
            <w:vAlign w:val="bottom"/>
          </w:tcPr>
          <w:p>
            <w:pPr>
              <w:jc w:val="right"/>
              <w:ind w:right="129"/>
              <w:spacing w:after="0" w:line="107" w:lineRule="exact"/>
              <w:rPr>
                <w:sz w:val="20"/>
                <w:szCs w:val="20"/>
                <w:color w:val="auto"/>
              </w:rPr>
            </w:pPr>
            <w:r>
              <w:rPr>
                <w:rFonts w:ascii="Arial" w:cs="Arial" w:eastAsia="Arial" w:hAnsi="Arial"/>
                <w:sz w:val="12"/>
                <w:szCs w:val="12"/>
                <w:b w:val="1"/>
                <w:bCs w:val="1"/>
                <w:color w:val="454968"/>
              </w:rPr>
              <w:t>Grant</w:t>
            </w:r>
          </w:p>
        </w:tc>
        <w:tc>
          <w:tcPr>
            <w:tcW w:w="1080" w:type="dxa"/>
            <w:vAlign w:val="bottom"/>
          </w:tcPr>
          <w:p>
            <w:pPr>
              <w:jc w:val="right"/>
              <w:spacing w:after="0" w:line="107" w:lineRule="exact"/>
              <w:rPr>
                <w:sz w:val="20"/>
                <w:szCs w:val="20"/>
                <w:color w:val="auto"/>
              </w:rPr>
            </w:pPr>
            <w:r>
              <w:rPr>
                <w:rFonts w:ascii="Arial" w:cs="Arial" w:eastAsia="Arial" w:hAnsi="Arial"/>
                <w:sz w:val="12"/>
                <w:szCs w:val="12"/>
                <w:b w:val="1"/>
                <w:bCs w:val="1"/>
                <w:color w:val="454968"/>
              </w:rPr>
              <w:t>and Option</w:t>
            </w:r>
          </w:p>
        </w:tc>
        <w:tc>
          <w:tcPr>
            <w:tcW w:w="260" w:type="dxa"/>
            <w:vAlign w:val="bottom"/>
          </w:tcPr>
          <w:p>
            <w:pPr>
              <w:spacing w:after="0"/>
              <w:rPr>
                <w:sz w:val="9"/>
                <w:szCs w:val="9"/>
                <w:color w:val="auto"/>
              </w:rPr>
            </w:pPr>
          </w:p>
        </w:tc>
      </w:tr>
      <w:tr>
        <w:trPr>
          <w:trHeight w:val="157"/>
        </w:trPr>
        <w:tc>
          <w:tcPr>
            <w:tcW w:w="1500" w:type="dxa"/>
            <w:vAlign w:val="bottom"/>
            <w:tcBorders>
              <w:bottom w:val="single" w:sz="8" w:color="071D49"/>
            </w:tcBorders>
          </w:tcPr>
          <w:p>
            <w:pPr>
              <w:ind w:left="100"/>
              <w:spacing w:after="0"/>
              <w:rPr>
                <w:sz w:val="20"/>
                <w:szCs w:val="20"/>
                <w:color w:val="auto"/>
              </w:rPr>
            </w:pPr>
            <w:r>
              <w:rPr>
                <w:rFonts w:ascii="Arial" w:cs="Arial" w:eastAsia="Arial" w:hAnsi="Arial"/>
                <w:sz w:val="13"/>
                <w:szCs w:val="13"/>
                <w:b w:val="1"/>
                <w:bCs w:val="1"/>
                <w:color w:val="454968"/>
              </w:rPr>
              <w:t>Name</w:t>
            </w:r>
          </w:p>
        </w:tc>
        <w:tc>
          <w:tcPr>
            <w:tcW w:w="220" w:type="dxa"/>
            <w:vAlign w:val="bottom"/>
            <w:tcBorders>
              <w:bottom w:val="single" w:sz="8" w:color="071D49"/>
            </w:tcBorders>
          </w:tcPr>
          <w:p>
            <w:pPr>
              <w:spacing w:after="0"/>
              <w:rPr>
                <w:sz w:val="13"/>
                <w:szCs w:val="13"/>
                <w:color w:val="auto"/>
              </w:rPr>
            </w:pPr>
          </w:p>
        </w:tc>
        <w:tc>
          <w:tcPr>
            <w:tcW w:w="1040" w:type="dxa"/>
            <w:vAlign w:val="bottom"/>
            <w:tcBorders>
              <w:bottom w:val="single" w:sz="8" w:color="071D49"/>
            </w:tcBorders>
            <w:gridSpan w:val="2"/>
          </w:tcPr>
          <w:p>
            <w:pPr>
              <w:jc w:val="right"/>
              <w:ind w:right="260"/>
              <w:spacing w:after="0"/>
              <w:rPr>
                <w:sz w:val="20"/>
                <w:szCs w:val="20"/>
                <w:color w:val="auto"/>
              </w:rPr>
            </w:pPr>
            <w:r>
              <w:rPr>
                <w:rFonts w:ascii="Arial" w:cs="Arial" w:eastAsia="Arial" w:hAnsi="Arial"/>
                <w:sz w:val="13"/>
                <w:szCs w:val="13"/>
                <w:b w:val="1"/>
                <w:bCs w:val="1"/>
                <w:color w:val="454968"/>
              </w:rPr>
              <w:t>Date</w:t>
            </w:r>
          </w:p>
        </w:tc>
        <w:tc>
          <w:tcPr>
            <w:tcW w:w="3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w:t>
            </w:r>
          </w:p>
        </w:tc>
        <w:tc>
          <w:tcPr>
            <w:tcW w:w="90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w:t>
            </w:r>
          </w:p>
        </w:tc>
        <w:tc>
          <w:tcPr>
            <w:tcW w:w="1100" w:type="dxa"/>
            <w:vAlign w:val="bottom"/>
            <w:tcBorders>
              <w:bottom w:val="single" w:sz="8" w:color="071D49"/>
            </w:tcBorders>
          </w:tcPr>
          <w:p>
            <w:pPr>
              <w:jc w:val="right"/>
              <w:ind w:right="173"/>
              <w:spacing w:after="0"/>
              <w:rPr>
                <w:sz w:val="20"/>
                <w:szCs w:val="20"/>
                <w:color w:val="auto"/>
              </w:rPr>
            </w:pPr>
            <w:r>
              <w:rPr>
                <w:rFonts w:ascii="Arial" w:cs="Arial" w:eastAsia="Arial" w:hAnsi="Arial"/>
                <w:sz w:val="13"/>
                <w:szCs w:val="13"/>
                <w:b w:val="1"/>
                <w:bCs w:val="1"/>
                <w:color w:val="454968"/>
              </w:rPr>
              <w:t>($)</w:t>
            </w:r>
          </w:p>
        </w:tc>
        <w:tc>
          <w:tcPr>
            <w:tcW w:w="960" w:type="dxa"/>
            <w:vAlign w:val="bottom"/>
            <w:tcBorders>
              <w:bottom w:val="single" w:sz="8" w:color="071D49"/>
            </w:tcBorders>
          </w:tcPr>
          <w:p>
            <w:pPr>
              <w:jc w:val="right"/>
              <w:ind w:right="153"/>
              <w:spacing w:after="0"/>
              <w:rPr>
                <w:sz w:val="20"/>
                <w:szCs w:val="20"/>
                <w:color w:val="auto"/>
              </w:rPr>
            </w:pPr>
            <w:r>
              <w:rPr>
                <w:rFonts w:ascii="Arial" w:cs="Arial" w:eastAsia="Arial" w:hAnsi="Arial"/>
                <w:sz w:val="13"/>
                <w:szCs w:val="13"/>
                <w:b w:val="1"/>
                <w:bCs w:val="1"/>
                <w:color w:val="454968"/>
              </w:rPr>
              <w:t>(#)</w:t>
            </w:r>
          </w:p>
        </w:tc>
        <w:tc>
          <w:tcPr>
            <w:tcW w:w="840" w:type="dxa"/>
            <w:vAlign w:val="bottom"/>
            <w:tcBorders>
              <w:bottom w:val="single" w:sz="8" w:color="071D49"/>
            </w:tcBorders>
          </w:tcPr>
          <w:p>
            <w:pPr>
              <w:jc w:val="right"/>
              <w:ind w:right="69"/>
              <w:spacing w:after="0"/>
              <w:rPr>
                <w:sz w:val="20"/>
                <w:szCs w:val="20"/>
                <w:color w:val="auto"/>
              </w:rPr>
            </w:pPr>
            <w:r>
              <w:rPr>
                <w:rFonts w:ascii="Arial" w:cs="Arial" w:eastAsia="Arial" w:hAnsi="Arial"/>
                <w:sz w:val="13"/>
                <w:szCs w:val="13"/>
                <w:b w:val="1"/>
                <w:bCs w:val="1"/>
                <w:color w:val="454968"/>
              </w:rPr>
              <w:t>(#)</w:t>
            </w:r>
          </w:p>
        </w:tc>
        <w:tc>
          <w:tcPr>
            <w:tcW w:w="980" w:type="dxa"/>
            <w:vAlign w:val="bottom"/>
            <w:tcBorders>
              <w:bottom w:val="single" w:sz="8" w:color="071D49"/>
            </w:tcBorders>
          </w:tcPr>
          <w:p>
            <w:pPr>
              <w:jc w:val="right"/>
              <w:ind w:right="129"/>
              <w:spacing w:after="0"/>
              <w:rPr>
                <w:sz w:val="20"/>
                <w:szCs w:val="20"/>
                <w:color w:val="auto"/>
              </w:rPr>
            </w:pPr>
            <w:r>
              <w:rPr>
                <w:rFonts w:ascii="Arial" w:cs="Arial" w:eastAsia="Arial" w:hAnsi="Arial"/>
                <w:sz w:val="13"/>
                <w:szCs w:val="13"/>
                <w:b w:val="1"/>
                <w:bCs w:val="1"/>
                <w:color w:val="454968"/>
              </w:rPr>
              <w:t>Date</w:t>
            </w:r>
          </w:p>
        </w:tc>
        <w:tc>
          <w:tcPr>
            <w:tcW w:w="10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Awards</w:t>
            </w:r>
          </w:p>
        </w:tc>
        <w:tc>
          <w:tcPr>
            <w:tcW w:w="260" w:type="dxa"/>
            <w:vAlign w:val="bottom"/>
            <w:tcBorders>
              <w:bottom w:val="single" w:sz="8" w:color="071D49"/>
            </w:tcBorders>
          </w:tcPr>
          <w:p>
            <w:pPr>
              <w:spacing w:after="0"/>
              <w:rPr>
                <w:sz w:val="13"/>
                <w:szCs w:val="13"/>
                <w:color w:val="auto"/>
              </w:rPr>
            </w:pPr>
          </w:p>
        </w:tc>
      </w:tr>
      <w:tr>
        <w:trPr>
          <w:trHeight w:val="181"/>
        </w:trPr>
        <w:tc>
          <w:tcPr>
            <w:tcW w:w="1500" w:type="dxa"/>
            <w:vAlign w:val="bottom"/>
            <w:shd w:val="clear" w:color="auto" w:fill="D9D9D9"/>
          </w:tcPr>
          <w:p>
            <w:pPr>
              <w:ind w:left="100"/>
              <w:spacing w:after="0" w:line="181" w:lineRule="exact"/>
              <w:rPr>
                <w:sz w:val="20"/>
                <w:szCs w:val="20"/>
                <w:color w:val="auto"/>
              </w:rPr>
            </w:pPr>
            <w:r>
              <w:rPr>
                <w:rFonts w:ascii="Arial" w:cs="Arial" w:eastAsia="Arial" w:hAnsi="Arial"/>
                <w:sz w:val="16"/>
                <w:szCs w:val="16"/>
                <w:color w:val="auto"/>
              </w:rPr>
              <w:t>R. Gonzalez</w:t>
            </w:r>
          </w:p>
        </w:tc>
        <w:tc>
          <w:tcPr>
            <w:tcW w:w="1260" w:type="dxa"/>
            <w:vAlign w:val="bottom"/>
            <w:gridSpan w:val="3"/>
            <w:shd w:val="clear" w:color="auto" w:fill="D9D9D9"/>
          </w:tcPr>
          <w:p>
            <w:pPr>
              <w:jc w:val="right"/>
              <w:ind w:right="280"/>
              <w:spacing w:after="0" w:line="181" w:lineRule="exact"/>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5"/>
                <w:szCs w:val="15"/>
                <w:color w:val="auto"/>
              </w:rPr>
            </w:pPr>
          </w:p>
        </w:tc>
        <w:tc>
          <w:tcPr>
            <w:tcW w:w="900" w:type="dxa"/>
            <w:vAlign w:val="bottom"/>
            <w:shd w:val="clear" w:color="auto" w:fill="D9D9D9"/>
          </w:tcPr>
          <w:p>
            <w:pPr>
              <w:spacing w:after="0"/>
              <w:rPr>
                <w:sz w:val="15"/>
                <w:szCs w:val="15"/>
                <w:color w:val="auto"/>
              </w:rPr>
            </w:pPr>
          </w:p>
        </w:tc>
        <w:tc>
          <w:tcPr>
            <w:tcW w:w="1100" w:type="dxa"/>
            <w:vAlign w:val="bottom"/>
            <w:shd w:val="clear" w:color="auto" w:fill="D9D9D9"/>
          </w:tcPr>
          <w:p>
            <w:pPr>
              <w:ind w:left="360"/>
              <w:spacing w:after="0" w:line="181" w:lineRule="exact"/>
              <w:rPr>
                <w:sz w:val="20"/>
                <w:szCs w:val="20"/>
                <w:color w:val="auto"/>
              </w:rPr>
            </w:pPr>
            <w:r>
              <w:rPr>
                <w:rFonts w:ascii="Arial" w:cs="Arial" w:eastAsia="Arial" w:hAnsi="Arial"/>
                <w:sz w:val="14"/>
                <w:szCs w:val="14"/>
                <w:color w:val="auto"/>
              </w:rPr>
              <w:t xml:space="preserve">58,534 </w:t>
            </w:r>
            <w:r>
              <w:rPr>
                <w:rFonts w:ascii="Arial" w:cs="Arial" w:eastAsia="Arial" w:hAnsi="Arial"/>
                <w:sz w:val="20"/>
                <w:szCs w:val="20"/>
                <w:color w:val="auto"/>
                <w:vertAlign w:val="superscript"/>
              </w:rPr>
              <w:t>(2)</w:t>
            </w:r>
          </w:p>
        </w:tc>
        <w:tc>
          <w:tcPr>
            <w:tcW w:w="960" w:type="dxa"/>
            <w:vAlign w:val="bottom"/>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980" w:type="dxa"/>
            <w:vAlign w:val="bottom"/>
            <w:shd w:val="clear" w:color="auto" w:fill="D9D9D9"/>
          </w:tcPr>
          <w:p>
            <w:pPr>
              <w:spacing w:after="0"/>
              <w:rPr>
                <w:sz w:val="15"/>
                <w:szCs w:val="15"/>
                <w:color w:val="auto"/>
              </w:rPr>
            </w:pPr>
          </w:p>
        </w:tc>
        <w:tc>
          <w:tcPr>
            <w:tcW w:w="1340" w:type="dxa"/>
            <w:vAlign w:val="bottom"/>
            <w:gridSpan w:val="2"/>
            <w:shd w:val="clear" w:color="auto" w:fill="D9D9D9"/>
          </w:tcPr>
          <w:p>
            <w:pPr>
              <w:jc w:val="right"/>
              <w:ind w:right="39"/>
              <w:spacing w:after="0" w:line="181" w:lineRule="exact"/>
              <w:rPr>
                <w:sz w:val="20"/>
                <w:szCs w:val="20"/>
                <w:color w:val="auto"/>
              </w:rPr>
            </w:pPr>
            <w:r>
              <w:rPr>
                <w:rFonts w:ascii="Arial" w:cs="Arial" w:eastAsia="Arial" w:hAnsi="Arial"/>
                <w:sz w:val="14"/>
                <w:szCs w:val="14"/>
                <w:color w:val="auto"/>
              </w:rPr>
              <w:t xml:space="preserve">$ 6,374,353 </w:t>
            </w:r>
            <w:r>
              <w:rPr>
                <w:rFonts w:ascii="Arial" w:cs="Arial" w:eastAsia="Arial" w:hAnsi="Arial"/>
                <w:sz w:val="20"/>
                <w:szCs w:val="20"/>
                <w:color w:val="auto"/>
                <w:vertAlign w:val="superscript"/>
              </w:rPr>
              <w:t>(4)</w:t>
            </w:r>
          </w:p>
        </w:tc>
      </w:tr>
      <w:tr>
        <w:trPr>
          <w:trHeight w:val="189"/>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ind w:left="360"/>
              <w:spacing w:after="0" w:line="189" w:lineRule="exact"/>
              <w:rPr>
                <w:sz w:val="20"/>
                <w:szCs w:val="20"/>
                <w:color w:val="auto"/>
              </w:rPr>
            </w:pPr>
            <w:r>
              <w:rPr>
                <w:rFonts w:ascii="Arial" w:cs="Arial" w:eastAsia="Arial" w:hAnsi="Arial"/>
                <w:sz w:val="14"/>
                <w:szCs w:val="14"/>
                <w:color w:val="auto"/>
              </w:rPr>
              <w:t xml:space="preserve">58,534 </w:t>
            </w:r>
            <w:r>
              <w:rPr>
                <w:rFonts w:ascii="Arial" w:cs="Arial" w:eastAsia="Arial" w:hAnsi="Arial"/>
                <w:sz w:val="21"/>
                <w:szCs w:val="21"/>
                <w:color w:val="auto"/>
                <w:vertAlign w:val="superscript"/>
              </w:rPr>
              <w:t>(3)</w:t>
            </w:r>
          </w:p>
        </w:tc>
        <w:tc>
          <w:tcPr>
            <w:tcW w:w="9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6,199,336</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(4)</w:t>
            </w:r>
          </w:p>
        </w:tc>
      </w:tr>
      <w:tr>
        <w:trPr>
          <w:trHeight w:val="191"/>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960" w:type="dxa"/>
            <w:vAlign w:val="bottom"/>
            <w:shd w:val="clear" w:color="auto" w:fill="D9D9D9"/>
          </w:tcPr>
          <w:p>
            <w:pPr>
              <w:jc w:val="right"/>
              <w:spacing w:after="0" w:line="191" w:lineRule="exact"/>
              <w:rPr>
                <w:sz w:val="20"/>
                <w:szCs w:val="20"/>
                <w:color w:val="auto"/>
              </w:rPr>
            </w:pPr>
            <w:r>
              <w:rPr>
                <w:rFonts w:ascii="Arial" w:cs="Arial" w:eastAsia="Arial" w:hAnsi="Arial"/>
                <w:sz w:val="15"/>
                <w:szCs w:val="15"/>
                <w:color w:val="auto"/>
              </w:rPr>
              <w:t xml:space="preserve">192,546 </w:t>
            </w:r>
            <w:r>
              <w:rPr>
                <w:rFonts w:ascii="Arial" w:cs="Arial" w:eastAsia="Arial" w:hAnsi="Arial"/>
                <w:sz w:val="22"/>
                <w:szCs w:val="22"/>
                <w:color w:val="auto"/>
                <w:vertAlign w:val="superscript"/>
              </w:rPr>
              <w:t>(5)</w:t>
            </w:r>
          </w:p>
        </w:tc>
        <w:tc>
          <w:tcPr>
            <w:tcW w:w="840" w:type="dxa"/>
            <w:vAlign w:val="bottom"/>
            <w:shd w:val="clear" w:color="auto" w:fill="D9D9D9"/>
          </w:tcPr>
          <w:p>
            <w:pPr>
              <w:jc w:val="right"/>
              <w:ind w:right="69"/>
              <w:spacing w:after="0"/>
              <w:rPr>
                <w:sz w:val="20"/>
                <w:szCs w:val="20"/>
                <w:color w:val="auto"/>
              </w:rPr>
            </w:pPr>
            <w:r>
              <w:rPr>
                <w:rFonts w:ascii="Arial" w:cs="Arial" w:eastAsia="Arial" w:hAnsi="Arial"/>
                <w:sz w:val="16"/>
                <w:szCs w:val="16"/>
                <w:color w:val="auto"/>
              </w:rPr>
              <w:t>$ 105.92</w:t>
            </w:r>
          </w:p>
        </w:tc>
        <w:tc>
          <w:tcPr>
            <w:tcW w:w="980" w:type="dxa"/>
            <w:vAlign w:val="bottom"/>
            <w:shd w:val="clear" w:color="auto" w:fill="D9D9D9"/>
          </w:tcPr>
          <w:p>
            <w:pPr>
              <w:jc w:val="right"/>
              <w:ind w:right="149"/>
              <w:spacing w:after="0"/>
              <w:rPr>
                <w:sz w:val="20"/>
                <w:szCs w:val="20"/>
                <w:color w:val="auto"/>
              </w:rPr>
            </w:pPr>
            <w:r>
              <w:rPr>
                <w:rFonts w:ascii="Arial" w:cs="Arial" w:eastAsia="Arial" w:hAnsi="Arial"/>
                <w:sz w:val="16"/>
                <w:szCs w:val="16"/>
                <w:color w:val="auto"/>
              </w:rPr>
              <w:t>$ 106.06</w:t>
            </w: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3,134,649</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(6)</w:t>
            </w:r>
          </w:p>
        </w:tc>
      </w:tr>
      <w:tr>
        <w:trPr>
          <w:trHeight w:val="187"/>
        </w:trPr>
        <w:tc>
          <w:tcPr>
            <w:tcW w:w="1500" w:type="dxa"/>
            <w:vAlign w:val="bottom"/>
          </w:tcPr>
          <w:p>
            <w:pPr>
              <w:ind w:left="100"/>
              <w:spacing w:after="0"/>
              <w:rPr>
                <w:sz w:val="20"/>
                <w:szCs w:val="20"/>
                <w:color w:val="auto"/>
              </w:rPr>
            </w:pPr>
            <w:r>
              <w:rPr>
                <w:rFonts w:ascii="Arial" w:cs="Arial" w:eastAsia="Arial" w:hAnsi="Arial"/>
                <w:sz w:val="16"/>
                <w:szCs w:val="16"/>
                <w:color w:val="auto"/>
              </w:rPr>
              <w:t>R. Michael</w:t>
            </w: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ind w:left="360"/>
              <w:spacing w:after="0" w:line="187"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(2)</w:t>
            </w: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2,159,051</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r>
      <w:tr>
        <w:trPr>
          <w:trHeight w:val="189"/>
        </w:trPr>
        <w:tc>
          <w:tcPr>
            <w:tcW w:w="150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(3)</w:t>
            </w: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2,099,772</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r>
      <w:tr>
        <w:trPr>
          <w:trHeight w:val="191"/>
        </w:trPr>
        <w:tc>
          <w:tcPr>
            <w:tcW w:w="150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5"/>
                <w:szCs w:val="15"/>
                <w:color w:val="auto"/>
              </w:rPr>
              <w:t xml:space="preserve">65,217 </w:t>
            </w:r>
            <w:r>
              <w:rPr>
                <w:rFonts w:ascii="Arial" w:cs="Arial" w:eastAsia="Arial" w:hAnsi="Arial"/>
                <w:sz w:val="22"/>
                <w:szCs w:val="22"/>
                <w:color w:val="auto"/>
                <w:vertAlign w:val="superscript"/>
              </w:rPr>
              <w:t>(5)</w:t>
            </w:r>
          </w:p>
        </w:tc>
        <w:tc>
          <w:tcPr>
            <w:tcW w:w="840" w:type="dxa"/>
            <w:vAlign w:val="bottom"/>
          </w:tcPr>
          <w:p>
            <w:pPr>
              <w:jc w:val="right"/>
              <w:ind w:right="69"/>
              <w:spacing w:after="0"/>
              <w:rPr>
                <w:sz w:val="20"/>
                <w:szCs w:val="20"/>
                <w:color w:val="auto"/>
              </w:rPr>
            </w:pPr>
            <w:r>
              <w:rPr>
                <w:rFonts w:ascii="Arial" w:cs="Arial" w:eastAsia="Arial" w:hAnsi="Arial"/>
                <w:sz w:val="16"/>
                <w:szCs w:val="16"/>
                <w:color w:val="auto"/>
              </w:rPr>
              <w:t>105.92</w:t>
            </w:r>
          </w:p>
        </w:tc>
        <w:tc>
          <w:tcPr>
            <w:tcW w:w="980" w:type="dxa"/>
            <w:vAlign w:val="bottom"/>
          </w:tcPr>
          <w:p>
            <w:pPr>
              <w:jc w:val="right"/>
              <w:ind w:right="149"/>
              <w:spacing w:after="0"/>
              <w:rPr>
                <w:sz w:val="20"/>
                <w:szCs w:val="20"/>
                <w:color w:val="auto"/>
              </w:rPr>
            </w:pPr>
            <w:r>
              <w:rPr>
                <w:rFonts w:ascii="Arial" w:cs="Arial" w:eastAsia="Arial" w:hAnsi="Arial"/>
                <w:sz w:val="16"/>
                <w:szCs w:val="16"/>
                <w:color w:val="auto"/>
              </w:rPr>
              <w:t>106.06</w:t>
            </w:r>
          </w:p>
        </w:tc>
        <w:tc>
          <w:tcPr>
            <w:tcW w:w="1080" w:type="dxa"/>
            <w:vAlign w:val="bottom"/>
          </w:tcPr>
          <w:p>
            <w:pPr>
              <w:jc w:val="right"/>
              <w:spacing w:after="0"/>
              <w:rPr>
                <w:sz w:val="20"/>
                <w:szCs w:val="20"/>
                <w:color w:val="auto"/>
              </w:rPr>
            </w:pPr>
            <w:r>
              <w:rPr>
                <w:rFonts w:ascii="Arial" w:cs="Arial" w:eastAsia="Arial" w:hAnsi="Arial"/>
                <w:sz w:val="16"/>
                <w:szCs w:val="16"/>
                <w:color w:val="auto"/>
              </w:rPr>
              <w:t>1,061,733</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(6)</w:t>
            </w:r>
          </w:p>
        </w:tc>
      </w:tr>
      <w:tr>
        <w:trPr>
          <w:trHeight w:val="187"/>
        </w:trPr>
        <w:tc>
          <w:tcPr>
            <w:tcW w:w="15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L. Schumacher</w:t>
            </w:r>
          </w:p>
        </w:tc>
        <w:tc>
          <w:tcPr>
            <w:tcW w:w="1260" w:type="dxa"/>
            <w:vAlign w:val="bottom"/>
            <w:gridSpan w:val="3"/>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ind w:left="360"/>
              <w:spacing w:after="0" w:line="187"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(2)</w:t>
            </w:r>
          </w:p>
        </w:tc>
        <w:tc>
          <w:tcPr>
            <w:tcW w:w="9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2,159,051</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(4)</w:t>
            </w:r>
          </w:p>
        </w:tc>
      </w:tr>
      <w:tr>
        <w:trPr>
          <w:trHeight w:val="189"/>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ind w:left="360"/>
              <w:spacing w:after="0" w:line="189"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(3)</w:t>
            </w:r>
          </w:p>
        </w:tc>
        <w:tc>
          <w:tcPr>
            <w:tcW w:w="9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2,099,772</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(4)</w:t>
            </w:r>
          </w:p>
        </w:tc>
      </w:tr>
      <w:tr>
        <w:trPr>
          <w:trHeight w:val="191"/>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960" w:type="dxa"/>
            <w:vAlign w:val="bottom"/>
            <w:shd w:val="clear" w:color="auto" w:fill="D9D9D9"/>
          </w:tcPr>
          <w:p>
            <w:pPr>
              <w:jc w:val="right"/>
              <w:spacing w:after="0" w:line="191" w:lineRule="exact"/>
              <w:rPr>
                <w:sz w:val="20"/>
                <w:szCs w:val="20"/>
                <w:color w:val="auto"/>
              </w:rPr>
            </w:pPr>
            <w:r>
              <w:rPr>
                <w:rFonts w:ascii="Arial" w:cs="Arial" w:eastAsia="Arial" w:hAnsi="Arial"/>
                <w:sz w:val="15"/>
                <w:szCs w:val="15"/>
                <w:color w:val="auto"/>
              </w:rPr>
              <w:t xml:space="preserve">65,217 </w:t>
            </w:r>
            <w:r>
              <w:rPr>
                <w:rFonts w:ascii="Arial" w:cs="Arial" w:eastAsia="Arial" w:hAnsi="Arial"/>
                <w:sz w:val="22"/>
                <w:szCs w:val="22"/>
                <w:color w:val="auto"/>
                <w:vertAlign w:val="superscript"/>
              </w:rPr>
              <w:t>(5)</w:t>
            </w:r>
          </w:p>
        </w:tc>
        <w:tc>
          <w:tcPr>
            <w:tcW w:w="840" w:type="dxa"/>
            <w:vAlign w:val="bottom"/>
            <w:shd w:val="clear" w:color="auto" w:fill="D9D9D9"/>
          </w:tcPr>
          <w:p>
            <w:pPr>
              <w:jc w:val="right"/>
              <w:ind w:right="69"/>
              <w:spacing w:after="0"/>
              <w:rPr>
                <w:sz w:val="20"/>
                <w:szCs w:val="20"/>
                <w:color w:val="auto"/>
              </w:rPr>
            </w:pPr>
            <w:r>
              <w:rPr>
                <w:rFonts w:ascii="Arial" w:cs="Arial" w:eastAsia="Arial" w:hAnsi="Arial"/>
                <w:sz w:val="16"/>
                <w:szCs w:val="16"/>
                <w:color w:val="auto"/>
              </w:rPr>
              <w:t>105.92</w:t>
            </w:r>
          </w:p>
        </w:tc>
        <w:tc>
          <w:tcPr>
            <w:tcW w:w="980" w:type="dxa"/>
            <w:vAlign w:val="bottom"/>
            <w:shd w:val="clear" w:color="auto" w:fill="D9D9D9"/>
          </w:tcPr>
          <w:p>
            <w:pPr>
              <w:jc w:val="right"/>
              <w:ind w:right="149"/>
              <w:spacing w:after="0"/>
              <w:rPr>
                <w:sz w:val="20"/>
                <w:szCs w:val="20"/>
                <w:color w:val="auto"/>
              </w:rPr>
            </w:pPr>
            <w:r>
              <w:rPr>
                <w:rFonts w:ascii="Arial" w:cs="Arial" w:eastAsia="Arial" w:hAnsi="Arial"/>
                <w:sz w:val="16"/>
                <w:szCs w:val="16"/>
                <w:color w:val="auto"/>
              </w:rPr>
              <w:t>106.06</w:t>
            </w: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1,061,733</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(6)</w:t>
            </w:r>
          </w:p>
        </w:tc>
      </w:tr>
      <w:tr>
        <w:trPr>
          <w:trHeight w:val="187"/>
        </w:trPr>
        <w:tc>
          <w:tcPr>
            <w:tcW w:w="1500" w:type="dxa"/>
            <w:vAlign w:val="bottom"/>
          </w:tcPr>
          <w:p>
            <w:pPr>
              <w:ind w:left="100"/>
              <w:spacing w:after="0"/>
              <w:rPr>
                <w:sz w:val="20"/>
                <w:szCs w:val="20"/>
                <w:color w:val="auto"/>
              </w:rPr>
            </w:pPr>
            <w:r>
              <w:rPr>
                <w:rFonts w:ascii="Arial" w:cs="Arial" w:eastAsia="Arial" w:hAnsi="Arial"/>
                <w:sz w:val="16"/>
                <w:szCs w:val="16"/>
                <w:color w:val="auto"/>
              </w:rPr>
              <w:t>M. Severino</w:t>
            </w: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ind w:left="360"/>
              <w:spacing w:after="0" w:line="187"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(2)</w:t>
            </w: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2,159,051</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r>
      <w:tr>
        <w:trPr>
          <w:trHeight w:val="189"/>
        </w:trPr>
        <w:tc>
          <w:tcPr>
            <w:tcW w:w="150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19,826 </w:t>
            </w:r>
            <w:r>
              <w:rPr>
                <w:rFonts w:ascii="Arial" w:cs="Arial" w:eastAsia="Arial" w:hAnsi="Arial"/>
                <w:sz w:val="21"/>
                <w:szCs w:val="21"/>
                <w:color w:val="auto"/>
                <w:vertAlign w:val="superscript"/>
              </w:rPr>
              <w:t>(3)</w:t>
            </w: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2,099,772</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(4)</w:t>
            </w:r>
          </w:p>
        </w:tc>
      </w:tr>
      <w:tr>
        <w:trPr>
          <w:trHeight w:val="191"/>
        </w:trPr>
        <w:tc>
          <w:tcPr>
            <w:tcW w:w="1500" w:type="dxa"/>
            <w:vAlign w:val="bottom"/>
          </w:tcPr>
          <w:p>
            <w:pPr>
              <w:spacing w:after="0"/>
              <w:rPr>
                <w:sz w:val="16"/>
                <w:szCs w:val="16"/>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5"/>
                <w:szCs w:val="15"/>
                <w:color w:val="auto"/>
              </w:rPr>
              <w:t xml:space="preserve">65,217 </w:t>
            </w:r>
            <w:r>
              <w:rPr>
                <w:rFonts w:ascii="Arial" w:cs="Arial" w:eastAsia="Arial" w:hAnsi="Arial"/>
                <w:sz w:val="22"/>
                <w:szCs w:val="22"/>
                <w:color w:val="auto"/>
                <w:vertAlign w:val="superscript"/>
              </w:rPr>
              <w:t>(5)</w:t>
            </w:r>
          </w:p>
        </w:tc>
        <w:tc>
          <w:tcPr>
            <w:tcW w:w="840" w:type="dxa"/>
            <w:vAlign w:val="bottom"/>
          </w:tcPr>
          <w:p>
            <w:pPr>
              <w:jc w:val="right"/>
              <w:ind w:right="69"/>
              <w:spacing w:after="0"/>
              <w:rPr>
                <w:sz w:val="20"/>
                <w:szCs w:val="20"/>
                <w:color w:val="auto"/>
              </w:rPr>
            </w:pPr>
            <w:r>
              <w:rPr>
                <w:rFonts w:ascii="Arial" w:cs="Arial" w:eastAsia="Arial" w:hAnsi="Arial"/>
                <w:sz w:val="16"/>
                <w:szCs w:val="16"/>
                <w:color w:val="auto"/>
              </w:rPr>
              <w:t>105.92</w:t>
            </w:r>
          </w:p>
        </w:tc>
        <w:tc>
          <w:tcPr>
            <w:tcW w:w="980" w:type="dxa"/>
            <w:vAlign w:val="bottom"/>
          </w:tcPr>
          <w:p>
            <w:pPr>
              <w:jc w:val="right"/>
              <w:ind w:right="149"/>
              <w:spacing w:after="0"/>
              <w:rPr>
                <w:sz w:val="20"/>
                <w:szCs w:val="20"/>
                <w:color w:val="auto"/>
              </w:rPr>
            </w:pPr>
            <w:r>
              <w:rPr>
                <w:rFonts w:ascii="Arial" w:cs="Arial" w:eastAsia="Arial" w:hAnsi="Arial"/>
                <w:sz w:val="16"/>
                <w:szCs w:val="16"/>
                <w:color w:val="auto"/>
              </w:rPr>
              <w:t>106.06</w:t>
            </w:r>
          </w:p>
        </w:tc>
        <w:tc>
          <w:tcPr>
            <w:tcW w:w="1080" w:type="dxa"/>
            <w:vAlign w:val="bottom"/>
          </w:tcPr>
          <w:p>
            <w:pPr>
              <w:jc w:val="right"/>
              <w:spacing w:after="0"/>
              <w:rPr>
                <w:sz w:val="20"/>
                <w:szCs w:val="20"/>
                <w:color w:val="auto"/>
              </w:rPr>
            </w:pPr>
            <w:r>
              <w:rPr>
                <w:rFonts w:ascii="Arial" w:cs="Arial" w:eastAsia="Arial" w:hAnsi="Arial"/>
                <w:sz w:val="16"/>
                <w:szCs w:val="16"/>
                <w:color w:val="auto"/>
              </w:rPr>
              <w:t>1,061,733</w:t>
            </w:r>
          </w:p>
        </w:tc>
        <w:tc>
          <w:tcPr>
            <w:tcW w:w="260" w:type="dxa"/>
            <w:vAlign w:val="bottom"/>
          </w:tcPr>
          <w:p>
            <w:pPr>
              <w:jc w:val="right"/>
              <w:ind w:right="39"/>
              <w:spacing w:after="0"/>
              <w:rPr>
                <w:sz w:val="20"/>
                <w:szCs w:val="20"/>
                <w:color w:val="auto"/>
              </w:rPr>
            </w:pPr>
            <w:r>
              <w:rPr>
                <w:rFonts w:ascii="Arial" w:cs="Arial" w:eastAsia="Arial" w:hAnsi="Arial"/>
                <w:sz w:val="12"/>
                <w:szCs w:val="12"/>
                <w:color w:val="auto"/>
                <w:w w:val="95"/>
              </w:rPr>
              <w:t>(6)</w:t>
            </w:r>
          </w:p>
        </w:tc>
      </w:tr>
      <w:tr>
        <w:trPr>
          <w:trHeight w:val="187"/>
        </w:trPr>
        <w:tc>
          <w:tcPr>
            <w:tcW w:w="1500" w:type="dxa"/>
            <w:vAlign w:val="bottom"/>
            <w:shd w:val="clear" w:color="auto" w:fill="D9D9D9"/>
          </w:tcPr>
          <w:p>
            <w:pPr>
              <w:ind w:left="100"/>
              <w:spacing w:after="0"/>
              <w:rPr>
                <w:sz w:val="20"/>
                <w:szCs w:val="20"/>
                <w:color w:val="auto"/>
              </w:rPr>
            </w:pPr>
            <w:r>
              <w:rPr>
                <w:rFonts w:ascii="Arial" w:cs="Arial" w:eastAsia="Arial" w:hAnsi="Arial"/>
                <w:sz w:val="16"/>
                <w:szCs w:val="16"/>
                <w:color w:val="auto"/>
              </w:rPr>
              <w:t>J. Stewart</w:t>
            </w:r>
          </w:p>
        </w:tc>
        <w:tc>
          <w:tcPr>
            <w:tcW w:w="1260" w:type="dxa"/>
            <w:vAlign w:val="bottom"/>
            <w:gridSpan w:val="3"/>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ind w:left="360"/>
              <w:spacing w:after="0" w:line="187" w:lineRule="exact"/>
              <w:rPr>
                <w:sz w:val="20"/>
                <w:szCs w:val="20"/>
                <w:color w:val="auto"/>
              </w:rPr>
            </w:pPr>
            <w:r>
              <w:rPr>
                <w:rFonts w:ascii="Arial" w:cs="Arial" w:eastAsia="Arial" w:hAnsi="Arial"/>
                <w:sz w:val="14"/>
                <w:szCs w:val="14"/>
                <w:color w:val="auto"/>
              </w:rPr>
              <w:t xml:space="preserve">13,217 </w:t>
            </w:r>
            <w:r>
              <w:rPr>
                <w:rFonts w:ascii="Arial" w:cs="Arial" w:eastAsia="Arial" w:hAnsi="Arial"/>
                <w:sz w:val="21"/>
                <w:szCs w:val="21"/>
                <w:color w:val="auto"/>
                <w:vertAlign w:val="superscript"/>
              </w:rPr>
              <w:t>(2)</w:t>
            </w:r>
          </w:p>
        </w:tc>
        <w:tc>
          <w:tcPr>
            <w:tcW w:w="9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1,439,331</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(4)</w:t>
            </w:r>
          </w:p>
        </w:tc>
      </w:tr>
      <w:tr>
        <w:trPr>
          <w:trHeight w:val="189"/>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ind w:left="360"/>
              <w:spacing w:after="0" w:line="189" w:lineRule="exact"/>
              <w:rPr>
                <w:sz w:val="20"/>
                <w:szCs w:val="20"/>
                <w:color w:val="auto"/>
              </w:rPr>
            </w:pPr>
            <w:r>
              <w:rPr>
                <w:rFonts w:ascii="Arial" w:cs="Arial" w:eastAsia="Arial" w:hAnsi="Arial"/>
                <w:sz w:val="14"/>
                <w:szCs w:val="14"/>
                <w:color w:val="auto"/>
              </w:rPr>
              <w:t xml:space="preserve">13,217 </w:t>
            </w:r>
            <w:r>
              <w:rPr>
                <w:rFonts w:ascii="Arial" w:cs="Arial" w:eastAsia="Arial" w:hAnsi="Arial"/>
                <w:sz w:val="21"/>
                <w:szCs w:val="21"/>
                <w:color w:val="auto"/>
                <w:vertAlign w:val="superscript"/>
              </w:rPr>
              <w:t>(3)</w:t>
            </w:r>
          </w:p>
        </w:tc>
        <w:tc>
          <w:tcPr>
            <w:tcW w:w="96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1,399,812</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(4)</w:t>
            </w:r>
          </w:p>
        </w:tc>
      </w:tr>
      <w:tr>
        <w:trPr>
          <w:trHeight w:val="191"/>
        </w:trPr>
        <w:tc>
          <w:tcPr>
            <w:tcW w:w="150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2/18/2021</w:t>
            </w:r>
          </w:p>
        </w:tc>
        <w:tc>
          <w:tcPr>
            <w:tcW w:w="3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960" w:type="dxa"/>
            <w:vAlign w:val="bottom"/>
            <w:shd w:val="clear" w:color="auto" w:fill="D9D9D9"/>
          </w:tcPr>
          <w:p>
            <w:pPr>
              <w:jc w:val="right"/>
              <w:spacing w:after="0" w:line="191" w:lineRule="exact"/>
              <w:rPr>
                <w:sz w:val="20"/>
                <w:szCs w:val="20"/>
                <w:color w:val="auto"/>
              </w:rPr>
            </w:pPr>
            <w:r>
              <w:rPr>
                <w:rFonts w:ascii="Arial" w:cs="Arial" w:eastAsia="Arial" w:hAnsi="Arial"/>
                <w:sz w:val="15"/>
                <w:szCs w:val="15"/>
                <w:color w:val="auto"/>
              </w:rPr>
              <w:t xml:space="preserve">43,478 </w:t>
            </w:r>
            <w:r>
              <w:rPr>
                <w:rFonts w:ascii="Arial" w:cs="Arial" w:eastAsia="Arial" w:hAnsi="Arial"/>
                <w:sz w:val="22"/>
                <w:szCs w:val="22"/>
                <w:color w:val="auto"/>
                <w:vertAlign w:val="superscript"/>
              </w:rPr>
              <w:t>(5)</w:t>
            </w:r>
          </w:p>
        </w:tc>
        <w:tc>
          <w:tcPr>
            <w:tcW w:w="840" w:type="dxa"/>
            <w:vAlign w:val="bottom"/>
            <w:shd w:val="clear" w:color="auto" w:fill="D9D9D9"/>
          </w:tcPr>
          <w:p>
            <w:pPr>
              <w:jc w:val="right"/>
              <w:ind w:right="69"/>
              <w:spacing w:after="0"/>
              <w:rPr>
                <w:sz w:val="20"/>
                <w:szCs w:val="20"/>
                <w:color w:val="auto"/>
              </w:rPr>
            </w:pPr>
            <w:r>
              <w:rPr>
                <w:rFonts w:ascii="Arial" w:cs="Arial" w:eastAsia="Arial" w:hAnsi="Arial"/>
                <w:sz w:val="16"/>
                <w:szCs w:val="16"/>
                <w:color w:val="auto"/>
              </w:rPr>
              <w:t>105.92</w:t>
            </w:r>
          </w:p>
        </w:tc>
        <w:tc>
          <w:tcPr>
            <w:tcW w:w="980" w:type="dxa"/>
            <w:vAlign w:val="bottom"/>
            <w:shd w:val="clear" w:color="auto" w:fill="D9D9D9"/>
          </w:tcPr>
          <w:p>
            <w:pPr>
              <w:jc w:val="right"/>
              <w:ind w:right="149"/>
              <w:spacing w:after="0"/>
              <w:rPr>
                <w:sz w:val="20"/>
                <w:szCs w:val="20"/>
                <w:color w:val="auto"/>
              </w:rPr>
            </w:pPr>
            <w:r>
              <w:rPr>
                <w:rFonts w:ascii="Arial" w:cs="Arial" w:eastAsia="Arial" w:hAnsi="Arial"/>
                <w:sz w:val="16"/>
                <w:szCs w:val="16"/>
                <w:color w:val="auto"/>
              </w:rPr>
              <w:t>106.06</w:t>
            </w:r>
          </w:p>
        </w:tc>
        <w:tc>
          <w:tcPr>
            <w:tcW w:w="10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707,822</w:t>
            </w:r>
          </w:p>
        </w:tc>
        <w:tc>
          <w:tcPr>
            <w:tcW w:w="260" w:type="dxa"/>
            <w:vAlign w:val="bottom"/>
            <w:shd w:val="clear" w:color="auto" w:fill="D9D9D9"/>
          </w:tcPr>
          <w:p>
            <w:pPr>
              <w:jc w:val="right"/>
              <w:ind w:right="39"/>
              <w:spacing w:after="0"/>
              <w:rPr>
                <w:sz w:val="20"/>
                <w:szCs w:val="20"/>
                <w:color w:val="auto"/>
              </w:rPr>
            </w:pPr>
            <w:r>
              <w:rPr>
                <w:rFonts w:ascii="Arial" w:cs="Arial" w:eastAsia="Arial" w:hAnsi="Arial"/>
                <w:sz w:val="12"/>
                <w:szCs w:val="12"/>
                <w:color w:val="auto"/>
                <w:w w:val="95"/>
              </w:rPr>
              <w:t>(6)</w:t>
            </w:r>
          </w:p>
        </w:tc>
      </w:tr>
      <w:tr>
        <w:trPr>
          <w:trHeight w:val="108"/>
        </w:trPr>
        <w:tc>
          <w:tcPr>
            <w:tcW w:w="1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94" w:lineRule="exact"/>
        <w:rPr>
          <w:sz w:val="20"/>
          <w:szCs w:val="20"/>
          <w:color w:val="auto"/>
        </w:rPr>
      </w:pPr>
    </w:p>
    <w:p>
      <w:pPr>
        <w:ind w:left="321" w:right="20" w:hanging="321"/>
        <w:spacing w:after="0" w:line="238" w:lineRule="auto"/>
        <w:tabs>
          <w:tab w:leader="none" w:pos="3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During 2021, each of the NEOs participated in the AbbVie Performance Incentive Plan. The annual cash incentive award earned by the NEO in 2021 under the plan is shown in the Summary Compensation Table in the column captioned “Non-Equity Incentive Plan Compensation.” No future pay-outs will be made with respect to the 2021 awards under the plan. The plan is described in greater detail in the section of this proxy statement captioned “Compensation Discussion and Analysis—Compensation Plan Elements—Short-Term Incentives.”</w:t>
      </w:r>
    </w:p>
    <w:p>
      <w:pPr>
        <w:spacing w:after="0" w:line="107" w:lineRule="exact"/>
        <w:rPr>
          <w:rFonts w:ascii="Arial" w:cs="Arial" w:eastAsia="Arial" w:hAnsi="Arial"/>
          <w:sz w:val="18"/>
          <w:szCs w:val="18"/>
          <w:color w:val="auto"/>
        </w:rPr>
      </w:pPr>
    </w:p>
    <w:p>
      <w:pPr>
        <w:ind w:left="321" w:right="140" w:hanging="321"/>
        <w:spacing w:after="0" w:line="238" w:lineRule="auto"/>
        <w:tabs>
          <w:tab w:leader="none" w:pos="3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is a performance share award that has the potential to vest at 0% to 250% of target during a three-year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w:t>
      </w:r>
    </w:p>
    <w:p>
      <w:pPr>
        <w:spacing w:after="0" w:line="200" w:lineRule="exact"/>
        <w:rPr>
          <w:sz w:val="20"/>
          <w:szCs w:val="20"/>
          <w:color w:val="auto"/>
        </w:rPr>
      </w:pPr>
    </w:p>
    <w:p>
      <w:pPr>
        <w:spacing w:after="0" w:line="353"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874395" cy="1625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57" w:name="page58"/>
    <w:bookmarkEnd w:id="57"/>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right="160"/>
        <w:spacing w:after="0" w:line="238" w:lineRule="auto"/>
        <w:rPr>
          <w:sz w:val="20"/>
          <w:szCs w:val="20"/>
          <w:color w:val="auto"/>
        </w:rPr>
      </w:pPr>
      <w:r>
        <w:rPr>
          <w:rFonts w:ascii="Arial" w:cs="Arial" w:eastAsia="Arial" w:hAnsi="Arial"/>
          <w:sz w:val="18"/>
          <w:szCs w:val="18"/>
          <w:color w:val="auto"/>
        </w:rPr>
        <w:t>the extent that shares are earned. In 2021, AbbVie’s EPS performance resulted in the banking of the award on February 28, 2022 at 200% of target, with vesting to be determined based on the company’s relative TSR performance following the three-year performance period that ends December 31, 2023. The performance metrics are described in the section of this proxy statement captioned “Compensation Discussion and Analysis —Compensation Plan Elements—Long-Term Incentives.”</w:t>
      </w:r>
    </w:p>
    <w:p>
      <w:pPr>
        <w:spacing w:after="0" w:line="108" w:lineRule="exact"/>
        <w:rPr>
          <w:sz w:val="20"/>
          <w:szCs w:val="20"/>
          <w:color w:val="auto"/>
        </w:rPr>
      </w:pPr>
    </w:p>
    <w:p>
      <w:pPr>
        <w:ind w:left="321" w:right="200" w:hanging="321"/>
        <w:spacing w:after="0" w:line="236" w:lineRule="auto"/>
        <w:tabs>
          <w:tab w:leader="none" w:pos="3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is a performance-vested restricted stock unit award that has the potential to vest at 0% to 200% of target, in one-third increments, during a three-year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2021, AbbVie’s relative ROIC performance resulted in the vesting on February 28, 2022 of one-third of the award at 175% of target. The performance metrics are described in the section of this proxy statement captioned “Compensation Discussion and Analysis—Compensation Plan Elements—Long-Term Incentives.”</w:t>
      </w:r>
    </w:p>
    <w:p>
      <w:pPr>
        <w:spacing w:after="0" w:line="112" w:lineRule="exact"/>
        <w:rPr>
          <w:rFonts w:ascii="Arial" w:cs="Arial" w:eastAsia="Arial" w:hAnsi="Arial"/>
          <w:sz w:val="18"/>
          <w:szCs w:val="18"/>
          <w:color w:val="auto"/>
        </w:rPr>
      </w:pPr>
    </w:p>
    <w:p>
      <w:pPr>
        <w:ind w:left="321" w:right="20" w:hanging="321"/>
        <w:spacing w:after="0" w:line="236" w:lineRule="auto"/>
        <w:tabs>
          <w:tab w:leader="none" w:pos="3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grant date fair value of stock awards is generally determined by multiplying the number of shares or units granted by the average of the high and low market prices of one share of AbbVie common stock on the award grant date. The grant date fair value of performance shares with a TSR market condition is determined using the Monte Carlo simulation model. In the event of a grantee’s death or disability, these awards will be deemed earned either based on actual performance through the date of death or disability or at target, depending on the timing of the death or disability, as set forth in the award agreement. Upon a change in control, the treatment of these awards is determined as described in the section of this proxy statement captioned “Potential Payments upon Termination or Change in Control—Equity Awards.”</w:t>
      </w:r>
    </w:p>
    <w:p>
      <w:pPr>
        <w:spacing w:after="0" w:line="207" w:lineRule="exact"/>
        <w:rPr>
          <w:rFonts w:ascii="Arial" w:cs="Arial" w:eastAsia="Arial" w:hAnsi="Arial"/>
          <w:sz w:val="18"/>
          <w:szCs w:val="18"/>
          <w:color w:val="auto"/>
        </w:rPr>
      </w:pPr>
    </w:p>
    <w:p>
      <w:pPr>
        <w:ind w:left="321" w:right="120" w:hanging="321"/>
        <w:spacing w:after="0" w:line="236" w:lineRule="auto"/>
        <w:tabs>
          <w:tab w:leader="none" w:pos="3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 These options do not contain a replacement option feature.</w:t>
      </w:r>
    </w:p>
    <w:p>
      <w:pPr>
        <w:spacing w:after="0" w:line="207" w:lineRule="exact"/>
        <w:rPr>
          <w:rFonts w:ascii="Arial" w:cs="Arial" w:eastAsia="Arial" w:hAnsi="Arial"/>
          <w:sz w:val="18"/>
          <w:szCs w:val="18"/>
          <w:color w:val="auto"/>
        </w:rPr>
      </w:pPr>
    </w:p>
    <w:p>
      <w:pPr>
        <w:ind w:left="321" w:right="60" w:hanging="321"/>
        <w:spacing w:after="0"/>
        <w:tabs>
          <w:tab w:leader="none" w:pos="3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grant date fair value of option awards is determined as of the option grant date using a Black-Scholes stock option valuation model. The assumptions used to determine the grant date fair value are described in footnote (2) to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EXECUTIVE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2021 Outstanding Equity Awards at Fiscal Year 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AbbVie equity awards held by the NEOs at year end.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071D49"/>
            </w:tcBorders>
          </w:tcPr>
          <w:p>
            <w:pPr>
              <w:spacing w:after="0"/>
              <w:rPr>
                <w:sz w:val="13"/>
                <w:szCs w:val="13"/>
                <w:color w:val="auto"/>
              </w:rPr>
            </w:pPr>
          </w:p>
        </w:tc>
        <w:tc>
          <w:tcPr>
            <w:tcW w:w="200" w:type="dxa"/>
            <w:vAlign w:val="bottom"/>
            <w:tcBorders>
              <w:bottom w:val="single" w:sz="8" w:color="071D49"/>
            </w:tcBorders>
          </w:tcPr>
          <w:p>
            <w:pPr>
              <w:spacing w:after="0"/>
              <w:rPr>
                <w:sz w:val="13"/>
                <w:szCs w:val="13"/>
                <w:color w:val="auto"/>
              </w:rPr>
            </w:pPr>
          </w:p>
        </w:tc>
        <w:tc>
          <w:tcPr>
            <w:tcW w:w="2120" w:type="dxa"/>
            <w:vAlign w:val="bottom"/>
            <w:tcBorders>
              <w:bottom w:val="single" w:sz="8" w:color="071D49"/>
            </w:tcBorders>
            <w:gridSpan w:val="5"/>
          </w:tcPr>
          <w:p>
            <w:pPr>
              <w:jc w:val="right"/>
              <w:ind w:right="421"/>
              <w:spacing w:after="0"/>
              <w:rPr>
                <w:sz w:val="20"/>
                <w:szCs w:val="20"/>
                <w:color w:val="auto"/>
              </w:rPr>
            </w:pPr>
            <w:r>
              <w:rPr>
                <w:rFonts w:ascii="Arial" w:cs="Arial" w:eastAsia="Arial" w:hAnsi="Arial"/>
                <w:sz w:val="13"/>
                <w:szCs w:val="13"/>
                <w:b w:val="1"/>
                <w:bCs w:val="1"/>
                <w:color w:val="454968"/>
              </w:rPr>
              <w:t>Option Awards(1)</w:t>
            </w:r>
          </w:p>
        </w:tc>
        <w:tc>
          <w:tcPr>
            <w:tcW w:w="880" w:type="dxa"/>
            <w:vAlign w:val="bottom"/>
            <w:tcBorders>
              <w:bottom w:val="single" w:sz="8" w:color="071D49"/>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071D49"/>
            </w:tcBorders>
          </w:tcPr>
          <w:p>
            <w:pPr>
              <w:spacing w:after="0"/>
              <w:rPr>
                <w:sz w:val="13"/>
                <w:szCs w:val="13"/>
                <w:color w:val="auto"/>
              </w:rPr>
            </w:pPr>
          </w:p>
        </w:tc>
        <w:tc>
          <w:tcPr>
            <w:tcW w:w="1760" w:type="dxa"/>
            <w:vAlign w:val="bottom"/>
            <w:tcBorders>
              <w:bottom w:val="single" w:sz="8" w:color="071D49"/>
            </w:tcBorders>
            <w:gridSpan w:val="2"/>
          </w:tcPr>
          <w:p>
            <w:pPr>
              <w:jc w:val="right"/>
              <w:ind w:right="243"/>
              <w:spacing w:after="0"/>
              <w:rPr>
                <w:sz w:val="20"/>
                <w:szCs w:val="20"/>
                <w:color w:val="auto"/>
              </w:rPr>
            </w:pPr>
            <w:r>
              <w:rPr>
                <w:rFonts w:ascii="Arial" w:cs="Arial" w:eastAsia="Arial" w:hAnsi="Arial"/>
                <w:sz w:val="13"/>
                <w:szCs w:val="13"/>
                <w:b w:val="1"/>
                <w:bCs w:val="1"/>
                <w:color w:val="454968"/>
              </w:rPr>
              <w:t>Stock Awards</w:t>
            </w:r>
          </w:p>
        </w:tc>
        <w:tc>
          <w:tcPr>
            <w:tcW w:w="200" w:type="dxa"/>
            <w:vAlign w:val="bottom"/>
            <w:tcBorders>
              <w:bottom w:val="single" w:sz="8" w:color="071D49"/>
            </w:tcBorders>
          </w:tcPr>
          <w:p>
            <w:pPr>
              <w:spacing w:after="0"/>
              <w:rPr>
                <w:sz w:val="13"/>
                <w:szCs w:val="13"/>
                <w:color w:val="auto"/>
              </w:rPr>
            </w:pPr>
          </w:p>
        </w:tc>
        <w:tc>
          <w:tcPr>
            <w:tcW w:w="860" w:type="dxa"/>
            <w:vAlign w:val="bottom"/>
            <w:tcBorders>
              <w:bottom w:val="single" w:sz="8" w:color="071D49"/>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right w:val="single" w:sz="8" w:color="071D49"/>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spacing w:after="0" w:line="107" w:lineRule="exact"/>
              <w:rPr>
                <w:sz w:val="20"/>
                <w:szCs w:val="20"/>
                <w:color w:val="auto"/>
              </w:rPr>
            </w:pPr>
            <w:r>
              <w:rPr>
                <w:rFonts w:ascii="Arial" w:cs="Arial" w:eastAsia="Arial" w:hAnsi="Arial"/>
                <w:sz w:val="12"/>
                <w:szCs w:val="12"/>
                <w:b w:val="1"/>
                <w:bCs w:val="1"/>
                <w:color w:val="454968"/>
              </w:rPr>
              <w:t>Equity</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Equity</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Incentive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Incentive</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w w:val="94"/>
              </w:rPr>
              <w:t>Plan Awards: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Plan Awards:</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Market or</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Number of</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w w:val="95"/>
              </w:rPr>
              <w:t>Payout Value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Number of</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Number 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Market</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Unearned</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of Unearned</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Securities</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Securities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w w:val="95"/>
              </w:rPr>
              <w:t>Number of</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Value of</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Shares</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Shares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Underlying</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Underlying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071D49"/>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Shares of</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Shares of</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or Other</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or Other</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w w:val="95"/>
              </w:rPr>
              <w:t>Unexercised</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Unexercised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1"/>
              <w:spacing w:after="0" w:line="135" w:lineRule="exact"/>
              <w:rPr>
                <w:sz w:val="20"/>
                <w:szCs w:val="20"/>
                <w:color w:val="auto"/>
              </w:rPr>
            </w:pPr>
            <w:r>
              <w:rPr>
                <w:rFonts w:ascii="Arial" w:cs="Arial" w:eastAsia="Arial" w:hAnsi="Arial"/>
                <w:sz w:val="13"/>
                <w:szCs w:val="13"/>
                <w:b w:val="1"/>
                <w:bCs w:val="1"/>
                <w:color w:val="454968"/>
              </w:rPr>
              <w:t>Option</w:t>
            </w:r>
          </w:p>
        </w:tc>
        <w:tc>
          <w:tcPr>
            <w:tcW w:w="98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Option</w:t>
            </w:r>
          </w:p>
        </w:tc>
        <w:tc>
          <w:tcPr>
            <w:tcW w:w="82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454968"/>
              </w:rPr>
              <w:t>Stock That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Stock That</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Rights That</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Rights That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Options -(#)</w:t>
            </w:r>
          </w:p>
        </w:tc>
        <w:tc>
          <w:tcPr>
            <w:tcW w:w="10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Options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1"/>
              <w:spacing w:after="0" w:line="135" w:lineRule="exact"/>
              <w:rPr>
                <w:sz w:val="20"/>
                <w:szCs w:val="20"/>
                <w:color w:val="auto"/>
              </w:rPr>
            </w:pPr>
            <w:r>
              <w:rPr>
                <w:rFonts w:ascii="Arial" w:cs="Arial" w:eastAsia="Arial" w:hAnsi="Arial"/>
                <w:sz w:val="13"/>
                <w:szCs w:val="13"/>
                <w:b w:val="1"/>
                <w:bCs w:val="1"/>
                <w:color w:val="454968"/>
              </w:rPr>
              <w:t>Exercise</w:t>
            </w:r>
          </w:p>
        </w:tc>
        <w:tc>
          <w:tcPr>
            <w:tcW w:w="98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Expiration</w:t>
            </w:r>
          </w:p>
        </w:tc>
        <w:tc>
          <w:tcPr>
            <w:tcW w:w="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Have Not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54968"/>
              </w:rPr>
              <w:t>Have Not</w:t>
            </w: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Have Not</w:t>
            </w: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Have Not</w:t>
            </w:r>
          </w:p>
        </w:tc>
        <w:tc>
          <w:tcPr>
            <w:tcW w:w="0" w:type="dxa"/>
            <w:vAlign w:val="bottom"/>
          </w:tcPr>
          <w:p>
            <w:pPr>
              <w:spacing w:after="0"/>
              <w:rPr>
                <w:sz w:val="1"/>
                <w:szCs w:val="1"/>
                <w:color w:val="auto"/>
              </w:rPr>
            </w:pPr>
          </w:p>
        </w:tc>
      </w:tr>
      <w:tr>
        <w:trPr>
          <w:trHeight w:val="157"/>
        </w:trPr>
        <w:tc>
          <w:tcPr>
            <w:tcW w:w="158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140" w:type="dxa"/>
            <w:vAlign w:val="bottom"/>
            <w:tcBorders>
              <w:bottom w:val="single" w:sz="8" w:color="071D49"/>
            </w:tcBorders>
          </w:tcPr>
          <w:p>
            <w:pPr>
              <w:spacing w:after="0"/>
              <w:rPr>
                <w:sz w:val="13"/>
                <w:szCs w:val="13"/>
                <w:color w:val="auto"/>
              </w:rPr>
            </w:pPr>
          </w:p>
        </w:tc>
        <w:tc>
          <w:tcPr>
            <w:tcW w:w="800" w:type="dxa"/>
            <w:vAlign w:val="bottom"/>
            <w:tcBorders>
              <w:bottom w:val="single" w:sz="8" w:color="071D49"/>
            </w:tcBorders>
            <w:gridSpan w:val="2"/>
          </w:tcPr>
          <w:p>
            <w:pPr>
              <w:jc w:val="right"/>
              <w:ind w:right="40"/>
              <w:spacing w:after="0"/>
              <w:rPr>
                <w:sz w:val="20"/>
                <w:szCs w:val="20"/>
                <w:color w:val="auto"/>
              </w:rPr>
            </w:pPr>
            <w:r>
              <w:rPr>
                <w:rFonts w:ascii="Arial" w:cs="Arial" w:eastAsia="Arial" w:hAnsi="Arial"/>
                <w:sz w:val="13"/>
                <w:szCs w:val="13"/>
                <w:b w:val="1"/>
                <w:bCs w:val="1"/>
                <w:color w:val="454968"/>
              </w:rPr>
              <w:t>Exercisable</w:t>
            </w:r>
          </w:p>
        </w:tc>
        <w:tc>
          <w:tcPr>
            <w:tcW w:w="10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Unexercisable</w:t>
            </w:r>
          </w:p>
        </w:tc>
        <w:tc>
          <w:tcPr>
            <w:tcW w:w="40" w:type="dxa"/>
            <w:vAlign w:val="bottom"/>
            <w:tcBorders>
              <w:bottom w:val="single" w:sz="8" w:color="071D49"/>
            </w:tcBorders>
          </w:tcPr>
          <w:p>
            <w:pPr>
              <w:spacing w:after="0"/>
              <w:rPr>
                <w:sz w:val="13"/>
                <w:szCs w:val="13"/>
                <w:color w:val="auto"/>
              </w:rPr>
            </w:pPr>
          </w:p>
        </w:tc>
        <w:tc>
          <w:tcPr>
            <w:tcW w:w="140" w:type="dxa"/>
            <w:vAlign w:val="bottom"/>
            <w:tcBorders>
              <w:bottom w:val="single" w:sz="8" w:color="071D49"/>
            </w:tcBorders>
          </w:tcPr>
          <w:p>
            <w:pPr>
              <w:spacing w:after="0"/>
              <w:rPr>
                <w:sz w:val="13"/>
                <w:szCs w:val="13"/>
                <w:color w:val="auto"/>
              </w:rPr>
            </w:pPr>
          </w:p>
        </w:tc>
        <w:tc>
          <w:tcPr>
            <w:tcW w:w="120" w:type="dxa"/>
            <w:vAlign w:val="bottom"/>
            <w:tcBorders>
              <w:bottom w:val="single" w:sz="8" w:color="071D49"/>
            </w:tcBorders>
          </w:tcPr>
          <w:p>
            <w:pPr>
              <w:spacing w:after="0"/>
              <w:rPr>
                <w:sz w:val="13"/>
                <w:szCs w:val="13"/>
                <w:color w:val="auto"/>
              </w:rPr>
            </w:pPr>
          </w:p>
        </w:tc>
        <w:tc>
          <w:tcPr>
            <w:tcW w:w="800" w:type="dxa"/>
            <w:vAlign w:val="bottom"/>
            <w:tcBorders>
              <w:bottom w:val="single" w:sz="8" w:color="071D49"/>
            </w:tcBorders>
          </w:tcPr>
          <w:p>
            <w:pPr>
              <w:jc w:val="right"/>
              <w:ind w:right="1"/>
              <w:spacing w:after="0"/>
              <w:rPr>
                <w:sz w:val="20"/>
                <w:szCs w:val="20"/>
                <w:color w:val="auto"/>
              </w:rPr>
            </w:pPr>
            <w:r>
              <w:rPr>
                <w:rFonts w:ascii="Arial" w:cs="Arial" w:eastAsia="Arial" w:hAnsi="Arial"/>
                <w:sz w:val="13"/>
                <w:szCs w:val="13"/>
                <w:b w:val="1"/>
                <w:bCs w:val="1"/>
                <w:color w:val="454968"/>
              </w:rPr>
              <w:t>Price -($)</w:t>
            </w:r>
          </w:p>
        </w:tc>
        <w:tc>
          <w:tcPr>
            <w:tcW w:w="980" w:type="dxa"/>
            <w:vAlign w:val="bottom"/>
            <w:tcBorders>
              <w:bottom w:val="single" w:sz="8" w:color="071D49"/>
              <w:right w:val="single" w:sz="8" w:color="071D49"/>
            </w:tcBorders>
            <w:gridSpan w:val="2"/>
          </w:tcPr>
          <w:p>
            <w:pPr>
              <w:jc w:val="right"/>
              <w:ind w:right="140"/>
              <w:spacing w:after="0"/>
              <w:rPr>
                <w:sz w:val="20"/>
                <w:szCs w:val="20"/>
                <w:color w:val="auto"/>
              </w:rPr>
            </w:pPr>
            <w:r>
              <w:rPr>
                <w:rFonts w:ascii="Arial" w:cs="Arial" w:eastAsia="Arial" w:hAnsi="Arial"/>
                <w:sz w:val="13"/>
                <w:szCs w:val="13"/>
                <w:b w:val="1"/>
                <w:bCs w:val="1"/>
                <w:color w:val="454968"/>
              </w:rPr>
              <w:t>Date</w:t>
            </w:r>
          </w:p>
        </w:tc>
        <w:tc>
          <w:tcPr>
            <w:tcW w:w="80" w:type="dxa"/>
            <w:vAlign w:val="bottom"/>
            <w:tcBorders>
              <w:bottom w:val="single" w:sz="8" w:color="071D49"/>
            </w:tcBorders>
          </w:tcPr>
          <w:p>
            <w:pPr>
              <w:spacing w:after="0"/>
              <w:rPr>
                <w:sz w:val="13"/>
                <w:szCs w:val="13"/>
                <w:color w:val="auto"/>
              </w:rPr>
            </w:pPr>
          </w:p>
        </w:tc>
        <w:tc>
          <w:tcPr>
            <w:tcW w:w="740" w:type="dxa"/>
            <w:vAlign w:val="bottom"/>
            <w:tcBorders>
              <w:bottom w:val="single" w:sz="8" w:color="071D49"/>
            </w:tcBorders>
          </w:tcPr>
          <w:p>
            <w:pPr>
              <w:jc w:val="right"/>
              <w:ind w:right="37"/>
              <w:spacing w:after="0"/>
              <w:rPr>
                <w:sz w:val="20"/>
                <w:szCs w:val="20"/>
                <w:color w:val="auto"/>
              </w:rPr>
            </w:pPr>
            <w:r>
              <w:rPr>
                <w:rFonts w:ascii="Arial" w:cs="Arial" w:eastAsia="Arial" w:hAnsi="Arial"/>
                <w:sz w:val="13"/>
                <w:szCs w:val="13"/>
                <w:b w:val="1"/>
                <w:bCs w:val="1"/>
                <w:color w:val="454968"/>
                <w:w w:val="93"/>
              </w:rPr>
              <w:t>Vested -(#)</w:t>
            </w:r>
          </w:p>
        </w:tc>
        <w:tc>
          <w:tcPr>
            <w:tcW w:w="840" w:type="dxa"/>
            <w:vAlign w:val="bottom"/>
            <w:tcBorders>
              <w:bottom w:val="single" w:sz="8" w:color="071D49"/>
            </w:tcBorders>
          </w:tcPr>
          <w:p>
            <w:pPr>
              <w:jc w:val="right"/>
              <w:ind w:right="37"/>
              <w:spacing w:after="0"/>
              <w:rPr>
                <w:sz w:val="20"/>
                <w:szCs w:val="20"/>
                <w:color w:val="auto"/>
              </w:rPr>
            </w:pPr>
            <w:r>
              <w:rPr>
                <w:rFonts w:ascii="Arial" w:cs="Arial" w:eastAsia="Arial" w:hAnsi="Arial"/>
                <w:sz w:val="13"/>
                <w:szCs w:val="13"/>
                <w:b w:val="1"/>
                <w:bCs w:val="1"/>
                <w:color w:val="454968"/>
              </w:rPr>
              <w:t>Vested -($)</w:t>
            </w:r>
          </w:p>
        </w:tc>
        <w:tc>
          <w:tcPr>
            <w:tcW w:w="9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Vested -(#)</w:t>
            </w:r>
          </w:p>
        </w:tc>
        <w:tc>
          <w:tcPr>
            <w:tcW w:w="200" w:type="dxa"/>
            <w:vAlign w:val="bottom"/>
            <w:tcBorders>
              <w:bottom w:val="single" w:sz="8" w:color="071D49"/>
            </w:tcBorders>
          </w:tcPr>
          <w:p>
            <w:pPr>
              <w:spacing w:after="0"/>
              <w:rPr>
                <w:sz w:val="13"/>
                <w:szCs w:val="13"/>
                <w:color w:val="auto"/>
              </w:rPr>
            </w:pPr>
          </w:p>
        </w:tc>
        <w:tc>
          <w:tcPr>
            <w:tcW w:w="86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Vested -($)</w:t>
            </w:r>
          </w:p>
        </w:tc>
        <w:tc>
          <w:tcPr>
            <w:tcW w:w="0" w:type="dxa"/>
            <w:vAlign w:val="bottom"/>
          </w:tcPr>
          <w:p>
            <w:pPr>
              <w:spacing w:after="0"/>
              <w:rPr>
                <w:sz w:val="1"/>
                <w:szCs w:val="1"/>
                <w:color w:val="auto"/>
              </w:rPr>
            </w:pPr>
          </w:p>
        </w:tc>
      </w:tr>
      <w:tr>
        <w:trPr>
          <w:trHeight w:val="181"/>
        </w:trPr>
        <w:tc>
          <w:tcPr>
            <w:tcW w:w="1580" w:type="dxa"/>
            <w:vAlign w:val="bottom"/>
            <w:shd w:val="clear" w:color="auto" w:fill="D9D9D9"/>
          </w:tcPr>
          <w:p>
            <w:pPr>
              <w:spacing w:after="0" w:line="181" w:lineRule="exact"/>
              <w:rPr>
                <w:sz w:val="20"/>
                <w:szCs w:val="20"/>
                <w:color w:val="auto"/>
              </w:rPr>
            </w:pPr>
            <w:r>
              <w:rPr>
                <w:rFonts w:ascii="Arial" w:cs="Arial" w:eastAsia="Arial" w:hAnsi="Arial"/>
                <w:sz w:val="16"/>
                <w:szCs w:val="16"/>
                <w:color w:val="auto"/>
              </w:rPr>
              <w:t>R. Gonzalez</w:t>
            </w:r>
          </w:p>
        </w:tc>
        <w:tc>
          <w:tcPr>
            <w:tcW w:w="940" w:type="dxa"/>
            <w:vAlign w:val="bottom"/>
            <w:gridSpan w:val="3"/>
            <w:shd w:val="clear" w:color="auto" w:fill="D9D9D9"/>
          </w:tcPr>
          <w:p>
            <w:pPr>
              <w:jc w:val="right"/>
              <w:ind w:right="60"/>
              <w:spacing w:after="0" w:line="181" w:lineRule="exact"/>
              <w:rPr>
                <w:sz w:val="20"/>
                <w:szCs w:val="20"/>
                <w:color w:val="auto"/>
              </w:rPr>
            </w:pPr>
            <w:r>
              <w:rPr>
                <w:rFonts w:ascii="Arial" w:cs="Arial" w:eastAsia="Arial" w:hAnsi="Arial"/>
                <w:sz w:val="16"/>
                <w:szCs w:val="16"/>
                <w:color w:val="auto"/>
              </w:rPr>
              <w:t>87,050</w:t>
            </w:r>
          </w:p>
        </w:tc>
        <w:tc>
          <w:tcPr>
            <w:tcW w:w="1020" w:type="dxa"/>
            <w:vAlign w:val="bottom"/>
            <w:shd w:val="clear" w:color="auto" w:fill="D9D9D9"/>
          </w:tcPr>
          <w:p>
            <w:pPr>
              <w:jc w:val="right"/>
              <w:spacing w:after="0" w:line="181" w:lineRule="exact"/>
              <w:rPr>
                <w:sz w:val="20"/>
                <w:szCs w:val="20"/>
                <w:color w:val="auto"/>
              </w:rPr>
            </w:pPr>
            <w:r>
              <w:rPr>
                <w:rFonts w:ascii="Arial" w:cs="Arial" w:eastAsia="Arial" w:hAnsi="Arial"/>
                <w:sz w:val="16"/>
                <w:szCs w:val="16"/>
                <w:color w:val="auto"/>
              </w:rPr>
              <w:t>-</w:t>
            </w:r>
          </w:p>
        </w:tc>
        <w:tc>
          <w:tcPr>
            <w:tcW w:w="300" w:type="dxa"/>
            <w:vAlign w:val="bottom"/>
            <w:gridSpan w:val="3"/>
            <w:shd w:val="clear" w:color="auto" w:fill="D9D9D9"/>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D9D9D9"/>
          </w:tcPr>
          <w:p>
            <w:pPr>
              <w:jc w:val="right"/>
              <w:ind w:right="21"/>
              <w:spacing w:after="0" w:line="181" w:lineRule="exact"/>
              <w:rPr>
                <w:sz w:val="20"/>
                <w:szCs w:val="20"/>
                <w:color w:val="auto"/>
              </w:rPr>
            </w:pPr>
            <w:r>
              <w:rPr>
                <w:rFonts w:ascii="Arial" w:cs="Arial" w:eastAsia="Arial" w:hAnsi="Arial"/>
                <w:sz w:val="16"/>
                <w:szCs w:val="16"/>
                <w:color w:val="auto"/>
              </w:rPr>
              <w:t>61.3600</w:t>
            </w:r>
          </w:p>
        </w:tc>
        <w:tc>
          <w:tcPr>
            <w:tcW w:w="880" w:type="dxa"/>
            <w:vAlign w:val="bottom"/>
            <w:shd w:val="clear" w:color="auto" w:fill="D9D9D9"/>
          </w:tcPr>
          <w:p>
            <w:pPr>
              <w:jc w:val="right"/>
              <w:spacing w:after="0" w:line="181" w:lineRule="exact"/>
              <w:rPr>
                <w:sz w:val="20"/>
                <w:szCs w:val="20"/>
                <w:color w:val="auto"/>
              </w:rPr>
            </w:pPr>
            <w:r>
              <w:rPr>
                <w:rFonts w:ascii="Arial" w:cs="Arial" w:eastAsia="Arial" w:hAnsi="Arial"/>
                <w:sz w:val="16"/>
                <w:szCs w:val="16"/>
                <w:color w:val="auto"/>
              </w:rPr>
              <w:t>2/15/2027</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840" w:type="dxa"/>
            <w:vAlign w:val="bottom"/>
            <w:shd w:val="clear" w:color="auto" w:fill="D9D9D9"/>
          </w:tcPr>
          <w:p>
            <w:pPr>
              <w:spacing w:after="0"/>
              <w:rPr>
                <w:sz w:val="15"/>
                <w:szCs w:val="15"/>
                <w:color w:val="auto"/>
              </w:rPr>
            </w:pPr>
          </w:p>
        </w:tc>
        <w:tc>
          <w:tcPr>
            <w:tcW w:w="920" w:type="dxa"/>
            <w:vAlign w:val="bottom"/>
            <w:shd w:val="clear" w:color="auto" w:fill="D9D9D9"/>
          </w:tcPr>
          <w:p>
            <w:pPr>
              <w:jc w:val="right"/>
              <w:spacing w:after="0" w:line="181" w:lineRule="exact"/>
              <w:rPr>
                <w:sz w:val="20"/>
                <w:szCs w:val="20"/>
                <w:color w:val="auto"/>
              </w:rPr>
            </w:pPr>
            <w:r>
              <w:rPr>
                <w:rFonts w:ascii="Arial" w:cs="Arial" w:eastAsia="Arial" w:hAnsi="Arial"/>
                <w:sz w:val="16"/>
                <w:szCs w:val="16"/>
                <w:color w:val="auto"/>
              </w:rPr>
              <w:t>77,617</w:t>
            </w:r>
          </w:p>
        </w:tc>
        <w:tc>
          <w:tcPr>
            <w:tcW w:w="1060" w:type="dxa"/>
            <w:vAlign w:val="bottom"/>
            <w:gridSpan w:val="2"/>
            <w:shd w:val="clear" w:color="auto" w:fill="D9D9D9"/>
          </w:tcPr>
          <w:p>
            <w:pPr>
              <w:jc w:val="right"/>
              <w:spacing w:after="0" w:line="181" w:lineRule="exact"/>
              <w:rPr>
                <w:sz w:val="20"/>
                <w:szCs w:val="20"/>
                <w:color w:val="auto"/>
              </w:rPr>
            </w:pPr>
            <w:r>
              <w:rPr>
                <w:rFonts w:ascii="Arial" w:cs="Arial" w:eastAsia="Arial" w:hAnsi="Arial"/>
                <w:sz w:val="20"/>
                <w:szCs w:val="20"/>
                <w:color w:val="auto"/>
                <w:vertAlign w:val="superscript"/>
              </w:rPr>
              <w:t>(2)</w:t>
            </w:r>
            <w:r>
              <w:rPr>
                <w:rFonts w:ascii="Arial" w:cs="Arial" w:eastAsia="Arial" w:hAnsi="Arial"/>
                <w:sz w:val="14"/>
                <w:szCs w:val="14"/>
                <w:color w:val="auto"/>
              </w:rPr>
              <w:t xml:space="preserve"> 10,509,342</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127,610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114.3600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2/14/2028</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99,821</w:t>
            </w:r>
          </w:p>
        </w:tc>
        <w:tc>
          <w:tcPr>
            <w:tcW w:w="1060" w:type="dxa"/>
            <w:vAlign w:val="bottom"/>
            <w:gridSpan w:val="2"/>
            <w:shd w:val="clear" w:color="auto" w:fill="D9D9D9"/>
          </w:tcPr>
          <w:p>
            <w:pPr>
              <w:jc w:val="right"/>
              <w:spacing w:after="0" w:line="189"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13,515,763</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119,418</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59,709</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79.0200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2/20/2029</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117,068</w:t>
            </w:r>
          </w:p>
        </w:tc>
        <w:tc>
          <w:tcPr>
            <w:tcW w:w="1060" w:type="dxa"/>
            <w:vAlign w:val="bottom"/>
            <w:gridSpan w:val="2"/>
            <w:shd w:val="clear" w:color="auto" w:fill="D9D9D9"/>
          </w:tcPr>
          <w:p>
            <w:pPr>
              <w:jc w:val="right"/>
              <w:spacing w:after="0" w:line="189"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15,851,007</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76,378</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152,754</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93.5000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2/19/2030</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192,546</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105.9200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2/17/2031</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20"/>
                <w:szCs w:val="20"/>
                <w:color w:val="auto"/>
              </w:rPr>
            </w:pPr>
            <w:r>
              <w:rPr>
                <w:rFonts w:ascii="Arial" w:cs="Arial" w:eastAsia="Arial" w:hAnsi="Arial"/>
                <w:sz w:val="16"/>
                <w:szCs w:val="16"/>
                <w:color w:val="auto"/>
              </w:rPr>
              <w:t>R. Michael</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10,140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54.8600</w:t>
            </w:r>
          </w:p>
        </w:tc>
        <w:tc>
          <w:tcPr>
            <w:tcW w:w="880" w:type="dxa"/>
            <w:vAlign w:val="bottom"/>
          </w:tcPr>
          <w:p>
            <w:pPr>
              <w:jc w:val="right"/>
              <w:spacing w:after="0"/>
              <w:rPr>
                <w:sz w:val="20"/>
                <w:szCs w:val="20"/>
                <w:color w:val="auto"/>
              </w:rPr>
            </w:pPr>
            <w:r>
              <w:rPr>
                <w:rFonts w:ascii="Arial" w:cs="Arial" w:eastAsia="Arial" w:hAnsi="Arial"/>
                <w:sz w:val="16"/>
                <w:szCs w:val="16"/>
                <w:color w:val="auto"/>
              </w:rPr>
              <w:t>2/17/2026</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23,622</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3,198,419</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11,420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61.3600</w:t>
            </w:r>
          </w:p>
        </w:tc>
        <w:tc>
          <w:tcPr>
            <w:tcW w:w="880" w:type="dxa"/>
            <w:vAlign w:val="bottom"/>
          </w:tcPr>
          <w:p>
            <w:pPr>
              <w:jc w:val="right"/>
              <w:spacing w:after="0"/>
              <w:rPr>
                <w:sz w:val="20"/>
                <w:szCs w:val="20"/>
                <w:color w:val="auto"/>
              </w:rPr>
            </w:pPr>
            <w:r>
              <w:rPr>
                <w:rFonts w:ascii="Arial" w:cs="Arial" w:eastAsia="Arial" w:hAnsi="Arial"/>
                <w:sz w:val="16"/>
                <w:szCs w:val="16"/>
                <w:color w:val="auto"/>
              </w:rPr>
              <w:t>2/15/2027</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46,345</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6,275,113</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8,030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114.3600</w:t>
            </w:r>
          </w:p>
        </w:tc>
        <w:tc>
          <w:tcPr>
            <w:tcW w:w="880" w:type="dxa"/>
            <w:vAlign w:val="bottom"/>
          </w:tcPr>
          <w:p>
            <w:pPr>
              <w:jc w:val="right"/>
              <w:spacing w:after="0"/>
              <w:rPr>
                <w:sz w:val="20"/>
                <w:szCs w:val="20"/>
                <w:color w:val="auto"/>
              </w:rPr>
            </w:pPr>
            <w:r>
              <w:rPr>
                <w:rFonts w:ascii="Arial" w:cs="Arial" w:eastAsia="Arial" w:hAnsi="Arial"/>
                <w:sz w:val="16"/>
                <w:szCs w:val="16"/>
                <w:color w:val="auto"/>
              </w:rPr>
              <w:t>2/14/2028</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39,652</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5,368,881</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36,345</w:t>
            </w:r>
          </w:p>
        </w:tc>
        <w:tc>
          <w:tcPr>
            <w:tcW w:w="1020" w:type="dxa"/>
            <w:vAlign w:val="bottom"/>
          </w:tcPr>
          <w:p>
            <w:pPr>
              <w:jc w:val="right"/>
              <w:spacing w:after="0"/>
              <w:rPr>
                <w:sz w:val="20"/>
                <w:szCs w:val="20"/>
                <w:color w:val="auto"/>
              </w:rPr>
            </w:pPr>
            <w:r>
              <w:rPr>
                <w:rFonts w:ascii="Arial" w:cs="Arial" w:eastAsia="Arial" w:hAnsi="Arial"/>
                <w:sz w:val="16"/>
                <w:szCs w:val="16"/>
                <w:color w:val="auto"/>
              </w:rPr>
              <w:t>18,172</w:t>
            </w:r>
          </w:p>
        </w:tc>
        <w:tc>
          <w:tcPr>
            <w:tcW w:w="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79.0200</w:t>
            </w:r>
          </w:p>
        </w:tc>
        <w:tc>
          <w:tcPr>
            <w:tcW w:w="880" w:type="dxa"/>
            <w:vAlign w:val="bottom"/>
          </w:tcPr>
          <w:p>
            <w:pPr>
              <w:jc w:val="right"/>
              <w:spacing w:after="0"/>
              <w:rPr>
                <w:sz w:val="20"/>
                <w:szCs w:val="20"/>
                <w:color w:val="auto"/>
              </w:rPr>
            </w:pPr>
            <w:r>
              <w:rPr>
                <w:rFonts w:ascii="Arial" w:cs="Arial" w:eastAsia="Arial" w:hAnsi="Arial"/>
                <w:sz w:val="16"/>
                <w:szCs w:val="16"/>
                <w:color w:val="auto"/>
              </w:rPr>
              <w:t>2/20/2029</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35,461</w:t>
            </w:r>
          </w:p>
        </w:tc>
        <w:tc>
          <w:tcPr>
            <w:tcW w:w="1020" w:type="dxa"/>
            <w:vAlign w:val="bottom"/>
          </w:tcPr>
          <w:p>
            <w:pPr>
              <w:jc w:val="right"/>
              <w:spacing w:after="0"/>
              <w:rPr>
                <w:sz w:val="20"/>
                <w:szCs w:val="20"/>
                <w:color w:val="auto"/>
              </w:rPr>
            </w:pPr>
            <w:r>
              <w:rPr>
                <w:rFonts w:ascii="Arial" w:cs="Arial" w:eastAsia="Arial" w:hAnsi="Arial"/>
                <w:sz w:val="16"/>
                <w:szCs w:val="16"/>
                <w:color w:val="auto"/>
              </w:rPr>
              <w:t>70,921</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93.5000</w:t>
            </w:r>
          </w:p>
        </w:tc>
        <w:tc>
          <w:tcPr>
            <w:tcW w:w="880" w:type="dxa"/>
            <w:vAlign w:val="bottom"/>
          </w:tcPr>
          <w:p>
            <w:pPr>
              <w:jc w:val="right"/>
              <w:spacing w:after="0"/>
              <w:rPr>
                <w:sz w:val="20"/>
                <w:szCs w:val="20"/>
                <w:color w:val="auto"/>
              </w:rPr>
            </w:pPr>
            <w:r>
              <w:rPr>
                <w:rFonts w:ascii="Arial" w:cs="Arial" w:eastAsia="Arial" w:hAnsi="Arial"/>
                <w:sz w:val="16"/>
                <w:szCs w:val="16"/>
                <w:color w:val="auto"/>
              </w:rPr>
              <w:t>2/19/2030</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65,217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105.9200</w:t>
            </w:r>
          </w:p>
        </w:tc>
        <w:tc>
          <w:tcPr>
            <w:tcW w:w="880" w:type="dxa"/>
            <w:vAlign w:val="bottom"/>
          </w:tcPr>
          <w:p>
            <w:pPr>
              <w:jc w:val="right"/>
              <w:spacing w:after="0"/>
              <w:rPr>
                <w:sz w:val="20"/>
                <w:szCs w:val="20"/>
                <w:color w:val="auto"/>
              </w:rPr>
            </w:pPr>
            <w:r>
              <w:rPr>
                <w:rFonts w:ascii="Arial" w:cs="Arial" w:eastAsia="Arial" w:hAnsi="Arial"/>
                <w:sz w:val="16"/>
                <w:szCs w:val="16"/>
                <w:color w:val="auto"/>
              </w:rPr>
              <w:t>2/17/2031</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580" w:type="dxa"/>
            <w:vAlign w:val="bottom"/>
            <w:shd w:val="clear" w:color="auto" w:fill="D9D9D9"/>
          </w:tcPr>
          <w:p>
            <w:pPr>
              <w:spacing w:after="0"/>
              <w:rPr>
                <w:sz w:val="20"/>
                <w:szCs w:val="20"/>
                <w:color w:val="auto"/>
              </w:rPr>
            </w:pPr>
            <w:r>
              <w:rPr>
                <w:rFonts w:ascii="Arial" w:cs="Arial" w:eastAsia="Arial" w:hAnsi="Arial"/>
                <w:sz w:val="16"/>
                <w:szCs w:val="16"/>
                <w:color w:val="auto"/>
              </w:rPr>
              <w:t>L. Schumacher</w:t>
            </w:r>
          </w:p>
        </w:tc>
        <w:tc>
          <w:tcPr>
            <w:tcW w:w="940" w:type="dxa"/>
            <w:vAlign w:val="bottom"/>
            <w:gridSpan w:val="3"/>
            <w:shd w:val="clear" w:color="auto" w:fill="D9D9D9"/>
          </w:tcPr>
          <w:p>
            <w:pPr>
              <w:jc w:val="right"/>
              <w:ind w:right="60"/>
              <w:spacing w:after="0"/>
              <w:rPr>
                <w:sz w:val="20"/>
                <w:szCs w:val="20"/>
                <w:color w:val="auto"/>
              </w:rPr>
            </w:pPr>
            <w:r>
              <w:rPr>
                <w:rFonts w:ascii="Arial" w:cs="Arial" w:eastAsia="Arial" w:hAnsi="Arial"/>
                <w:sz w:val="16"/>
                <w:szCs w:val="16"/>
                <w:color w:val="auto"/>
              </w:rPr>
              <w:t>100,100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61.3600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2/15/2027</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29,696</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4,020,838</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45,840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114.3600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2/14/2028</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49,910</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6,757,814</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45,690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22,845</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79.0200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2/20/2029</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39,652</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5,368,881</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38,189</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76,377</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93.5000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2/19/2030</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65,217</w:t>
            </w:r>
          </w:p>
        </w:tc>
        <w:tc>
          <w:tcPr>
            <w:tcW w:w="180" w:type="dxa"/>
            <w:vAlign w:val="bottom"/>
            <w:gridSpan w:val="2"/>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105.9200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2/17/2031</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580" w:type="dxa"/>
            <w:vAlign w:val="bottom"/>
          </w:tcPr>
          <w:p>
            <w:pPr>
              <w:spacing w:after="0"/>
              <w:rPr>
                <w:sz w:val="20"/>
                <w:szCs w:val="20"/>
                <w:color w:val="auto"/>
              </w:rPr>
            </w:pPr>
            <w:r>
              <w:rPr>
                <w:rFonts w:ascii="Arial" w:cs="Arial" w:eastAsia="Arial" w:hAnsi="Arial"/>
                <w:sz w:val="16"/>
                <w:szCs w:val="16"/>
                <w:color w:val="auto"/>
              </w:rPr>
              <w:t>M. Severino</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74,309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54.4400</w:t>
            </w:r>
          </w:p>
        </w:tc>
        <w:tc>
          <w:tcPr>
            <w:tcW w:w="880" w:type="dxa"/>
            <w:vAlign w:val="bottom"/>
          </w:tcPr>
          <w:p>
            <w:pPr>
              <w:jc w:val="right"/>
              <w:spacing w:after="0"/>
              <w:rPr>
                <w:sz w:val="20"/>
                <w:szCs w:val="20"/>
                <w:color w:val="auto"/>
              </w:rPr>
            </w:pPr>
            <w:r>
              <w:rPr>
                <w:rFonts w:ascii="Arial" w:cs="Arial" w:eastAsia="Arial" w:hAnsi="Arial"/>
                <w:sz w:val="16"/>
                <w:szCs w:val="16"/>
                <w:color w:val="auto"/>
              </w:rPr>
              <w:t>6/01/2024</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27,941</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3,783,211</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104,480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58.8800</w:t>
            </w:r>
          </w:p>
        </w:tc>
        <w:tc>
          <w:tcPr>
            <w:tcW w:w="880" w:type="dxa"/>
            <w:vAlign w:val="bottom"/>
          </w:tcPr>
          <w:p>
            <w:pPr>
              <w:jc w:val="right"/>
              <w:spacing w:after="0"/>
              <w:rPr>
                <w:sz w:val="20"/>
                <w:szCs w:val="20"/>
                <w:color w:val="auto"/>
              </w:rPr>
            </w:pPr>
            <w:r>
              <w:rPr>
                <w:rFonts w:ascii="Arial" w:cs="Arial" w:eastAsia="Arial" w:hAnsi="Arial"/>
                <w:sz w:val="16"/>
                <w:szCs w:val="16"/>
                <w:color w:val="auto"/>
              </w:rPr>
              <w:t>2/18/2025</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49,910</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6,757,814</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91,990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54.8600</w:t>
            </w:r>
          </w:p>
        </w:tc>
        <w:tc>
          <w:tcPr>
            <w:tcW w:w="880" w:type="dxa"/>
            <w:vAlign w:val="bottom"/>
          </w:tcPr>
          <w:p>
            <w:pPr>
              <w:jc w:val="right"/>
              <w:spacing w:after="0"/>
              <w:rPr>
                <w:sz w:val="20"/>
                <w:szCs w:val="20"/>
                <w:color w:val="auto"/>
              </w:rPr>
            </w:pPr>
            <w:r>
              <w:rPr>
                <w:rFonts w:ascii="Arial" w:cs="Arial" w:eastAsia="Arial" w:hAnsi="Arial"/>
                <w:sz w:val="16"/>
                <w:szCs w:val="16"/>
                <w:color w:val="auto"/>
              </w:rPr>
              <w:t>2/17/2026</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39,652</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5,368,881</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100,100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61.3600</w:t>
            </w:r>
          </w:p>
        </w:tc>
        <w:tc>
          <w:tcPr>
            <w:tcW w:w="880" w:type="dxa"/>
            <w:vAlign w:val="bottom"/>
          </w:tcPr>
          <w:p>
            <w:pPr>
              <w:jc w:val="right"/>
              <w:spacing w:after="0"/>
              <w:rPr>
                <w:sz w:val="20"/>
                <w:szCs w:val="20"/>
                <w:color w:val="auto"/>
              </w:rPr>
            </w:pPr>
            <w:r>
              <w:rPr>
                <w:rFonts w:ascii="Arial" w:cs="Arial" w:eastAsia="Arial" w:hAnsi="Arial"/>
                <w:sz w:val="16"/>
                <w:szCs w:val="16"/>
                <w:color w:val="auto"/>
              </w:rPr>
              <w:t>2/15/2027</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46,320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114.3600</w:t>
            </w:r>
          </w:p>
        </w:tc>
        <w:tc>
          <w:tcPr>
            <w:tcW w:w="880" w:type="dxa"/>
            <w:vAlign w:val="bottom"/>
          </w:tcPr>
          <w:p>
            <w:pPr>
              <w:jc w:val="right"/>
              <w:spacing w:after="0"/>
              <w:rPr>
                <w:sz w:val="20"/>
                <w:szCs w:val="20"/>
                <w:color w:val="auto"/>
              </w:rPr>
            </w:pPr>
            <w:r>
              <w:rPr>
                <w:rFonts w:ascii="Arial" w:cs="Arial" w:eastAsia="Arial" w:hAnsi="Arial"/>
                <w:sz w:val="16"/>
                <w:szCs w:val="16"/>
                <w:color w:val="auto"/>
              </w:rPr>
              <w:t>2/14/2028</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42,990</w:t>
            </w:r>
          </w:p>
        </w:tc>
        <w:tc>
          <w:tcPr>
            <w:tcW w:w="1020" w:type="dxa"/>
            <w:vAlign w:val="bottom"/>
          </w:tcPr>
          <w:p>
            <w:pPr>
              <w:jc w:val="right"/>
              <w:spacing w:after="0"/>
              <w:rPr>
                <w:sz w:val="20"/>
                <w:szCs w:val="20"/>
                <w:color w:val="auto"/>
              </w:rPr>
            </w:pPr>
            <w:r>
              <w:rPr>
                <w:rFonts w:ascii="Arial" w:cs="Arial" w:eastAsia="Arial" w:hAnsi="Arial"/>
                <w:sz w:val="16"/>
                <w:szCs w:val="16"/>
                <w:color w:val="auto"/>
              </w:rPr>
              <w:t>21,495</w:t>
            </w:r>
          </w:p>
        </w:tc>
        <w:tc>
          <w:tcPr>
            <w:tcW w:w="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79.0200</w:t>
            </w:r>
          </w:p>
        </w:tc>
        <w:tc>
          <w:tcPr>
            <w:tcW w:w="880" w:type="dxa"/>
            <w:vAlign w:val="bottom"/>
          </w:tcPr>
          <w:p>
            <w:pPr>
              <w:jc w:val="right"/>
              <w:spacing w:after="0"/>
              <w:rPr>
                <w:sz w:val="20"/>
                <w:szCs w:val="20"/>
                <w:color w:val="auto"/>
              </w:rPr>
            </w:pPr>
            <w:r>
              <w:rPr>
                <w:rFonts w:ascii="Arial" w:cs="Arial" w:eastAsia="Arial" w:hAnsi="Arial"/>
                <w:sz w:val="16"/>
                <w:szCs w:val="16"/>
                <w:color w:val="auto"/>
              </w:rPr>
              <w:t>2/20/2029</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38,189</w:t>
            </w:r>
          </w:p>
        </w:tc>
        <w:tc>
          <w:tcPr>
            <w:tcW w:w="1020" w:type="dxa"/>
            <w:vAlign w:val="bottom"/>
          </w:tcPr>
          <w:p>
            <w:pPr>
              <w:jc w:val="right"/>
              <w:spacing w:after="0"/>
              <w:rPr>
                <w:sz w:val="20"/>
                <w:szCs w:val="20"/>
                <w:color w:val="auto"/>
              </w:rPr>
            </w:pPr>
            <w:r>
              <w:rPr>
                <w:rFonts w:ascii="Arial" w:cs="Arial" w:eastAsia="Arial" w:hAnsi="Arial"/>
                <w:sz w:val="16"/>
                <w:szCs w:val="16"/>
                <w:color w:val="auto"/>
              </w:rPr>
              <w:t>76,377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93.5000</w:t>
            </w:r>
          </w:p>
        </w:tc>
        <w:tc>
          <w:tcPr>
            <w:tcW w:w="880" w:type="dxa"/>
            <w:vAlign w:val="bottom"/>
          </w:tcPr>
          <w:p>
            <w:pPr>
              <w:jc w:val="right"/>
              <w:spacing w:after="0"/>
              <w:rPr>
                <w:sz w:val="20"/>
                <w:szCs w:val="20"/>
                <w:color w:val="auto"/>
              </w:rPr>
            </w:pPr>
            <w:r>
              <w:rPr>
                <w:rFonts w:ascii="Arial" w:cs="Arial" w:eastAsia="Arial" w:hAnsi="Arial"/>
                <w:sz w:val="16"/>
                <w:szCs w:val="16"/>
                <w:color w:val="auto"/>
              </w:rPr>
              <w:t>2/19/2030</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580" w:type="dxa"/>
            <w:vAlign w:val="bottom"/>
          </w:tcPr>
          <w:p>
            <w:pPr>
              <w:spacing w:after="0"/>
              <w:rPr>
                <w:sz w:val="16"/>
                <w:szCs w:val="16"/>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65,217</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105.9200</w:t>
            </w:r>
          </w:p>
        </w:tc>
        <w:tc>
          <w:tcPr>
            <w:tcW w:w="880" w:type="dxa"/>
            <w:vAlign w:val="bottom"/>
          </w:tcPr>
          <w:p>
            <w:pPr>
              <w:jc w:val="right"/>
              <w:spacing w:after="0"/>
              <w:rPr>
                <w:sz w:val="20"/>
                <w:szCs w:val="20"/>
                <w:color w:val="auto"/>
              </w:rPr>
            </w:pPr>
            <w:r>
              <w:rPr>
                <w:rFonts w:ascii="Arial" w:cs="Arial" w:eastAsia="Arial" w:hAnsi="Arial"/>
                <w:sz w:val="16"/>
                <w:szCs w:val="16"/>
                <w:color w:val="auto"/>
              </w:rPr>
              <w:t>2/17/2031</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580" w:type="dxa"/>
            <w:vAlign w:val="bottom"/>
            <w:shd w:val="clear" w:color="auto" w:fill="D9D9D9"/>
          </w:tcPr>
          <w:p>
            <w:pPr>
              <w:spacing w:after="0"/>
              <w:rPr>
                <w:sz w:val="20"/>
                <w:szCs w:val="20"/>
                <w:color w:val="auto"/>
              </w:rPr>
            </w:pPr>
            <w:r>
              <w:rPr>
                <w:rFonts w:ascii="Arial" w:cs="Arial" w:eastAsia="Arial" w:hAnsi="Arial"/>
                <w:sz w:val="16"/>
                <w:szCs w:val="16"/>
                <w:color w:val="auto"/>
              </w:rPr>
              <w:t>J. Stewart</w:t>
            </w:r>
          </w:p>
        </w:tc>
        <w:tc>
          <w:tcPr>
            <w:tcW w:w="940" w:type="dxa"/>
            <w:vAlign w:val="bottom"/>
            <w:gridSpan w:val="3"/>
            <w:shd w:val="clear" w:color="auto" w:fill="D9D9D9"/>
          </w:tcPr>
          <w:p>
            <w:pPr>
              <w:jc w:val="right"/>
              <w:ind w:right="60"/>
              <w:spacing w:after="0"/>
              <w:rPr>
                <w:sz w:val="20"/>
                <w:szCs w:val="20"/>
                <w:color w:val="auto"/>
              </w:rPr>
            </w:pPr>
            <w:r>
              <w:rPr>
                <w:rFonts w:ascii="Arial" w:cs="Arial" w:eastAsia="Arial" w:hAnsi="Arial"/>
                <w:sz w:val="16"/>
                <w:szCs w:val="16"/>
                <w:color w:val="auto"/>
              </w:rPr>
              <w:t>27,690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58.8800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2/18/2025</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11,136</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1,507,814</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21,810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54.8600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2/17/2026</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21,390</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2,896,206</w:t>
            </w:r>
          </w:p>
        </w:tc>
        <w:tc>
          <w:tcPr>
            <w:tcW w:w="0" w:type="dxa"/>
            <w:vAlign w:val="bottom"/>
          </w:tcPr>
          <w:p>
            <w:pPr>
              <w:spacing w:after="0"/>
              <w:rPr>
                <w:sz w:val="1"/>
                <w:szCs w:val="1"/>
                <w:color w:val="auto"/>
              </w:rPr>
            </w:pPr>
          </w:p>
        </w:tc>
      </w:tr>
      <w:tr>
        <w:trPr>
          <w:trHeight w:val="191"/>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26,110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61.3600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2/15/2027</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26,434</w:t>
            </w:r>
          </w:p>
        </w:tc>
        <w:tc>
          <w:tcPr>
            <w:tcW w:w="20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3,579,164</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16,070</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9D9D9"/>
          </w:tcPr>
          <w:p>
            <w:pPr>
              <w:spacing w:after="0"/>
              <w:rPr>
                <w:sz w:val="16"/>
                <w:szCs w:val="16"/>
                <w:color w:val="auto"/>
              </w:rPr>
            </w:pPr>
          </w:p>
        </w:tc>
        <w:tc>
          <w:tcPr>
            <w:tcW w:w="140" w:type="dxa"/>
            <w:vAlign w:val="bottom"/>
            <w:vMerge w:val="restart"/>
            <w:shd w:val="clear" w:color="auto" w:fill="D9D9D9"/>
          </w:tcPr>
          <w:p>
            <w:pPr>
              <w:jc w:val="right"/>
              <w:spacing w:after="0"/>
              <w:rPr>
                <w:sz w:val="20"/>
                <w:szCs w:val="20"/>
                <w:color w:val="auto"/>
              </w:rPr>
            </w:pPr>
            <w:r>
              <w:rPr>
                <w:rFonts w:ascii="Arial" w:cs="Arial" w:eastAsia="Arial" w:hAnsi="Arial"/>
                <w:sz w:val="12"/>
                <w:szCs w:val="12"/>
                <w:color w:val="auto"/>
                <w:w w:val="81"/>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114.3600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2/14/2028</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17,133</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8,567</w:t>
            </w:r>
          </w:p>
        </w:tc>
        <w:tc>
          <w:tcPr>
            <w:tcW w:w="40" w:type="dxa"/>
            <w:vAlign w:val="bottom"/>
            <w:shd w:val="clear" w:color="auto" w:fill="D9D9D9"/>
          </w:tcPr>
          <w:p>
            <w:pPr>
              <w:spacing w:after="0"/>
              <w:rPr>
                <w:sz w:val="16"/>
                <w:szCs w:val="16"/>
                <w:color w:val="auto"/>
              </w:rPr>
            </w:pPr>
          </w:p>
        </w:tc>
        <w:tc>
          <w:tcPr>
            <w:tcW w:w="140" w:type="dxa"/>
            <w:vAlign w:val="bottom"/>
            <w:vMerge w:val="continue"/>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79.0200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2/20/2029</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16,367</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32,732</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93.5000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2/19/2030</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158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0" w:type="dxa"/>
            <w:vAlign w:val="bottom"/>
            <w:gridSpan w:val="2"/>
            <w:shd w:val="clear" w:color="auto" w:fill="D9D9D9"/>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43,478</w:t>
            </w:r>
          </w:p>
        </w:tc>
        <w:tc>
          <w:tcPr>
            <w:tcW w:w="40" w:type="dxa"/>
            <w:vAlign w:val="bottom"/>
            <w:shd w:val="clear" w:color="auto" w:fill="D9D9D9"/>
          </w:tcPr>
          <w:p>
            <w:pPr>
              <w:spacing w:after="0"/>
              <w:rPr>
                <w:sz w:val="16"/>
                <w:szCs w:val="16"/>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2"/>
                <w:szCs w:val="12"/>
                <w:color w:val="auto"/>
                <w:w w:val="81"/>
              </w:rPr>
              <w:t>(2)</w:t>
            </w:r>
          </w:p>
        </w:tc>
        <w:tc>
          <w:tcPr>
            <w:tcW w:w="120" w:type="dxa"/>
            <w:vAlign w:val="bottom"/>
            <w:shd w:val="clear" w:color="auto" w:fill="D9D9D9"/>
          </w:tcPr>
          <w:p>
            <w:pPr>
              <w:spacing w:after="0"/>
              <w:rPr>
                <w:sz w:val="16"/>
                <w:szCs w:val="16"/>
                <w:color w:val="auto"/>
              </w:rPr>
            </w:pPr>
          </w:p>
        </w:tc>
        <w:tc>
          <w:tcPr>
            <w:tcW w:w="800" w:type="dxa"/>
            <w:vAlign w:val="bottom"/>
            <w:shd w:val="clear" w:color="auto" w:fill="D9D9D9"/>
          </w:tcPr>
          <w:p>
            <w:pPr>
              <w:jc w:val="right"/>
              <w:ind w:right="21"/>
              <w:spacing w:after="0"/>
              <w:rPr>
                <w:sz w:val="20"/>
                <w:szCs w:val="20"/>
                <w:color w:val="auto"/>
              </w:rPr>
            </w:pPr>
            <w:r>
              <w:rPr>
                <w:rFonts w:ascii="Arial" w:cs="Arial" w:eastAsia="Arial" w:hAnsi="Arial"/>
                <w:sz w:val="16"/>
                <w:szCs w:val="16"/>
                <w:color w:val="auto"/>
              </w:rPr>
              <w:t>105.9200</w:t>
            </w:r>
          </w:p>
        </w:tc>
        <w:tc>
          <w:tcPr>
            <w:tcW w:w="8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2/17/2031</w:t>
            </w:r>
          </w:p>
        </w:tc>
        <w:tc>
          <w:tcPr>
            <w:tcW w:w="100" w:type="dxa"/>
            <w:vAlign w:val="bottom"/>
            <w:tcBorders>
              <w:right w:val="single" w:sz="8" w:color="071D49"/>
            </w:tcBorders>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840" w:type="dxa"/>
            <w:vAlign w:val="bottom"/>
            <w:shd w:val="clear" w:color="auto" w:fill="D9D9D9"/>
          </w:tcPr>
          <w:p>
            <w:pPr>
              <w:spacing w:after="0"/>
              <w:rPr>
                <w:sz w:val="16"/>
                <w:szCs w:val="16"/>
                <w:color w:val="auto"/>
              </w:rPr>
            </w:pP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D9D9D9"/>
          </w:tcPr>
          <w:p>
            <w:pPr>
              <w:spacing w:after="0"/>
              <w:rPr>
                <w:sz w:val="16"/>
                <w:szCs w:val="16"/>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Except as noted, the stock options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874395" cy="16319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74395" cy="163195"/>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59" w:name="page60"/>
    <w:bookmarkEnd w:id="59"/>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right="600" w:hanging="321"/>
        <w:spacing w:after="0" w:line="246" w:lineRule="auto"/>
        <w:tabs>
          <w:tab w:leader="none" w:pos="3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vesting dates of AbbVie unexercisable stock options and unvested performance share and restricted stock/unit awards outstanding at December 31, 2021 are as follows:</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071D49"/>
            </w:tcBorders>
          </w:tcPr>
          <w:p>
            <w:pPr>
              <w:spacing w:after="0"/>
              <w:rPr>
                <w:sz w:val="13"/>
                <w:szCs w:val="13"/>
                <w:color w:val="auto"/>
              </w:rPr>
            </w:pPr>
          </w:p>
        </w:tc>
        <w:tc>
          <w:tcPr>
            <w:tcW w:w="80" w:type="dxa"/>
            <w:vAlign w:val="bottom"/>
            <w:tcBorders>
              <w:bottom w:val="single" w:sz="8" w:color="071D49"/>
            </w:tcBorders>
          </w:tcPr>
          <w:p>
            <w:pPr>
              <w:spacing w:after="0"/>
              <w:rPr>
                <w:sz w:val="13"/>
                <w:szCs w:val="13"/>
                <w:color w:val="auto"/>
              </w:rPr>
            </w:pPr>
          </w:p>
        </w:tc>
        <w:tc>
          <w:tcPr>
            <w:tcW w:w="540" w:type="dxa"/>
            <w:vAlign w:val="bottom"/>
            <w:tcBorders>
              <w:bottom w:val="single" w:sz="8" w:color="071D49"/>
            </w:tcBorders>
          </w:tcPr>
          <w:p>
            <w:pPr>
              <w:spacing w:after="0"/>
              <w:rPr>
                <w:sz w:val="13"/>
                <w:szCs w:val="13"/>
                <w:color w:val="auto"/>
              </w:rPr>
            </w:pPr>
          </w:p>
        </w:tc>
        <w:tc>
          <w:tcPr>
            <w:tcW w:w="1360" w:type="dxa"/>
            <w:vAlign w:val="bottom"/>
            <w:tcBorders>
              <w:bottom w:val="single" w:sz="8" w:color="071D49"/>
            </w:tcBorders>
            <w:gridSpan w:val="2"/>
          </w:tcPr>
          <w:p>
            <w:pPr>
              <w:jc w:val="right"/>
              <w:ind w:right="394"/>
              <w:spacing w:after="0"/>
              <w:rPr>
                <w:sz w:val="20"/>
                <w:szCs w:val="20"/>
                <w:color w:val="auto"/>
              </w:rPr>
            </w:pPr>
            <w:r>
              <w:rPr>
                <w:rFonts w:ascii="Arial" w:cs="Arial" w:eastAsia="Arial" w:hAnsi="Arial"/>
                <w:sz w:val="13"/>
                <w:szCs w:val="13"/>
                <w:b w:val="1"/>
                <w:bCs w:val="1"/>
                <w:color w:val="454968"/>
                <w:w w:val="95"/>
              </w:rPr>
              <w:t>Option Awards</w:t>
            </w:r>
          </w:p>
        </w:tc>
        <w:tc>
          <w:tcPr>
            <w:tcW w:w="900" w:type="dxa"/>
            <w:vAlign w:val="bottom"/>
            <w:tcBorders>
              <w:bottom w:val="single" w:sz="8" w:color="071D49"/>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071D49"/>
            </w:tcBorders>
          </w:tcPr>
          <w:p>
            <w:pPr>
              <w:spacing w:after="0"/>
              <w:rPr>
                <w:sz w:val="13"/>
                <w:szCs w:val="13"/>
                <w:color w:val="auto"/>
              </w:rPr>
            </w:pPr>
          </w:p>
        </w:tc>
        <w:tc>
          <w:tcPr>
            <w:tcW w:w="2140" w:type="dxa"/>
            <w:vAlign w:val="bottom"/>
            <w:tcBorders>
              <w:bottom w:val="single" w:sz="8" w:color="071D49"/>
            </w:tcBorders>
            <w:gridSpan w:val="2"/>
          </w:tcPr>
          <w:p>
            <w:pPr>
              <w:jc w:val="right"/>
              <w:ind w:right="218"/>
              <w:spacing w:after="0"/>
              <w:rPr>
                <w:sz w:val="20"/>
                <w:szCs w:val="20"/>
                <w:color w:val="auto"/>
              </w:rPr>
            </w:pPr>
            <w:r>
              <w:rPr>
                <w:rFonts w:ascii="Arial" w:cs="Arial" w:eastAsia="Arial" w:hAnsi="Arial"/>
                <w:sz w:val="13"/>
                <w:szCs w:val="13"/>
                <w:b w:val="1"/>
                <w:bCs w:val="1"/>
                <w:color w:val="454968"/>
              </w:rPr>
              <w:t>Stock or Unit Awards</w:t>
            </w:r>
          </w:p>
        </w:tc>
        <w:tc>
          <w:tcPr>
            <w:tcW w:w="1040" w:type="dxa"/>
            <w:vAlign w:val="bottom"/>
            <w:tcBorders>
              <w:bottom w:val="single" w:sz="8" w:color="071D49"/>
            </w:tcBorders>
          </w:tcPr>
          <w:p>
            <w:pPr>
              <w:spacing w:after="0"/>
              <w:rPr>
                <w:sz w:val="13"/>
                <w:szCs w:val="13"/>
                <w:color w:val="auto"/>
              </w:rPr>
            </w:pPr>
          </w:p>
        </w:tc>
      </w:tr>
      <w:tr>
        <w:trPr>
          <w:trHeight w:val="107"/>
        </w:trPr>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40"/>
              <w:spacing w:after="0" w:line="107" w:lineRule="exact"/>
              <w:rPr>
                <w:sz w:val="20"/>
                <w:szCs w:val="20"/>
                <w:color w:val="auto"/>
              </w:rPr>
            </w:pPr>
            <w:r>
              <w:rPr>
                <w:rFonts w:ascii="Arial" w:cs="Arial" w:eastAsia="Arial" w:hAnsi="Arial"/>
                <w:sz w:val="12"/>
                <w:szCs w:val="12"/>
                <w:b w:val="1"/>
                <w:bCs w:val="1"/>
                <w:color w:val="454968"/>
              </w:rPr>
              <w:t>Number of</w:t>
            </w: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right w:val="single" w:sz="8" w:color="071D49"/>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jc w:val="right"/>
              <w:ind w:right="7"/>
              <w:spacing w:after="0" w:line="107" w:lineRule="exact"/>
              <w:rPr>
                <w:sz w:val="20"/>
                <w:szCs w:val="20"/>
                <w:color w:val="auto"/>
              </w:rPr>
            </w:pPr>
            <w:r>
              <w:rPr>
                <w:rFonts w:ascii="Arial" w:cs="Arial" w:eastAsia="Arial" w:hAnsi="Arial"/>
                <w:sz w:val="12"/>
                <w:szCs w:val="12"/>
                <w:b w:val="1"/>
                <w:bCs w:val="1"/>
                <w:color w:val="454968"/>
              </w:rPr>
              <w:t>Number of</w:t>
            </w:r>
          </w:p>
        </w:tc>
        <w:tc>
          <w:tcPr>
            <w:tcW w:w="1080" w:type="dxa"/>
            <w:vAlign w:val="bottom"/>
          </w:tcPr>
          <w:p>
            <w:pPr>
              <w:jc w:val="right"/>
              <w:ind w:right="18"/>
              <w:spacing w:after="0" w:line="107" w:lineRule="exact"/>
              <w:rPr>
                <w:sz w:val="20"/>
                <w:szCs w:val="20"/>
                <w:color w:val="auto"/>
              </w:rPr>
            </w:pPr>
            <w:r>
              <w:rPr>
                <w:rFonts w:ascii="Arial" w:cs="Arial" w:eastAsia="Arial" w:hAnsi="Arial"/>
                <w:sz w:val="12"/>
                <w:szCs w:val="12"/>
                <w:b w:val="1"/>
                <w:bCs w:val="1"/>
                <w:color w:val="454968"/>
              </w:rPr>
              <w:t>Number of</w:t>
            </w:r>
          </w:p>
        </w:tc>
        <w:tc>
          <w:tcPr>
            <w:tcW w:w="1040" w:type="dxa"/>
            <w:vAlign w:val="bottom"/>
          </w:tcPr>
          <w:p>
            <w:pPr>
              <w:jc w:val="right"/>
              <w:spacing w:after="0" w:line="107" w:lineRule="exact"/>
              <w:rPr>
                <w:sz w:val="20"/>
                <w:szCs w:val="20"/>
                <w:color w:val="auto"/>
              </w:rPr>
            </w:pPr>
            <w:r>
              <w:rPr>
                <w:rFonts w:ascii="Arial" w:cs="Arial" w:eastAsia="Arial" w:hAnsi="Arial"/>
                <w:sz w:val="12"/>
                <w:szCs w:val="12"/>
                <w:b w:val="1"/>
                <w:bCs w:val="1"/>
                <w:color w:val="454968"/>
              </w:rPr>
              <w:t>Number of</w:t>
            </w: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w w:val="93"/>
              </w:rPr>
              <w:t>Unexercised</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Number of</w:t>
            </w:r>
          </w:p>
        </w:tc>
        <w:tc>
          <w:tcPr>
            <w:tcW w:w="96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454968"/>
              </w:rPr>
              <w:t>Number of</w:t>
            </w:r>
          </w:p>
        </w:tc>
        <w:tc>
          <w:tcPr>
            <w:tcW w:w="100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Number 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right"/>
              <w:ind w:right="7"/>
              <w:spacing w:after="0" w:line="135" w:lineRule="exact"/>
              <w:rPr>
                <w:sz w:val="20"/>
                <w:szCs w:val="20"/>
                <w:color w:val="auto"/>
              </w:rPr>
            </w:pPr>
            <w:r>
              <w:rPr>
                <w:rFonts w:ascii="Arial" w:cs="Arial" w:eastAsia="Arial" w:hAnsi="Arial"/>
                <w:sz w:val="13"/>
                <w:szCs w:val="13"/>
                <w:b w:val="1"/>
                <w:bCs w:val="1"/>
                <w:color w:val="454968"/>
              </w:rPr>
              <w:t>Shares of</w:t>
            </w:r>
          </w:p>
        </w:tc>
        <w:tc>
          <w:tcPr>
            <w:tcW w:w="10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454968"/>
              </w:rPr>
              <w:t>Shares of</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Shares of</w:t>
            </w: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Shares</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Option</w:t>
            </w:r>
          </w:p>
        </w:tc>
        <w:tc>
          <w:tcPr>
            <w:tcW w:w="96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454968"/>
              </w:rPr>
              <w:t>Option</w:t>
            </w:r>
          </w:p>
        </w:tc>
        <w:tc>
          <w:tcPr>
            <w:tcW w:w="100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Option</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454968"/>
              </w:rPr>
              <w:t>Number of</w:t>
            </w:r>
          </w:p>
        </w:tc>
        <w:tc>
          <w:tcPr>
            <w:tcW w:w="1060" w:type="dxa"/>
            <w:vAlign w:val="bottom"/>
          </w:tcPr>
          <w:p>
            <w:pPr>
              <w:jc w:val="right"/>
              <w:ind w:right="7"/>
              <w:spacing w:after="0" w:line="135" w:lineRule="exact"/>
              <w:rPr>
                <w:sz w:val="20"/>
                <w:szCs w:val="20"/>
                <w:color w:val="auto"/>
              </w:rPr>
            </w:pPr>
            <w:r>
              <w:rPr>
                <w:rFonts w:ascii="Arial" w:cs="Arial" w:eastAsia="Arial" w:hAnsi="Arial"/>
                <w:sz w:val="13"/>
                <w:szCs w:val="13"/>
                <w:b w:val="1"/>
                <w:bCs w:val="1"/>
                <w:color w:val="454968"/>
              </w:rPr>
              <w:t>Restricted</w:t>
            </w:r>
          </w:p>
        </w:tc>
        <w:tc>
          <w:tcPr>
            <w:tcW w:w="10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454968"/>
              </w:rPr>
              <w:t>Restricted</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Restricted</w:t>
            </w: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Remaining</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Shares</w:t>
            </w:r>
          </w:p>
        </w:tc>
        <w:tc>
          <w:tcPr>
            <w:tcW w:w="96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454968"/>
              </w:rPr>
              <w:t>Shares</w:t>
            </w:r>
          </w:p>
        </w:tc>
        <w:tc>
          <w:tcPr>
            <w:tcW w:w="100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Shares</w:t>
            </w:r>
          </w:p>
        </w:tc>
        <w:tc>
          <w:tcPr>
            <w:tcW w:w="8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54968"/>
              </w:rPr>
              <w:t>Shares of</w:t>
            </w:r>
          </w:p>
        </w:tc>
        <w:tc>
          <w:tcPr>
            <w:tcW w:w="1060" w:type="dxa"/>
            <w:vAlign w:val="bottom"/>
          </w:tcPr>
          <w:p>
            <w:pPr>
              <w:jc w:val="right"/>
              <w:ind w:right="7"/>
              <w:spacing w:after="0" w:line="135" w:lineRule="exact"/>
              <w:rPr>
                <w:sz w:val="20"/>
                <w:szCs w:val="20"/>
                <w:color w:val="auto"/>
              </w:rPr>
            </w:pPr>
            <w:r>
              <w:rPr>
                <w:rFonts w:ascii="Arial" w:cs="Arial" w:eastAsia="Arial" w:hAnsi="Arial"/>
                <w:sz w:val="13"/>
                <w:szCs w:val="13"/>
                <w:b w:val="1"/>
                <w:bCs w:val="1"/>
                <w:color w:val="454968"/>
              </w:rPr>
              <w:t>Stock or</w:t>
            </w:r>
          </w:p>
        </w:tc>
        <w:tc>
          <w:tcPr>
            <w:tcW w:w="10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454968"/>
              </w:rPr>
              <w:t>Stock or</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Stock or</w:t>
            </w: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from</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4968"/>
              </w:rPr>
              <w:t>Vesting—</w:t>
            </w:r>
          </w:p>
        </w:tc>
        <w:tc>
          <w:tcPr>
            <w:tcW w:w="96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454968"/>
              </w:rPr>
              <w:t>Vesting—</w:t>
            </w:r>
          </w:p>
        </w:tc>
        <w:tc>
          <w:tcPr>
            <w:tcW w:w="100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Vesting—</w:t>
            </w:r>
          </w:p>
        </w:tc>
        <w:tc>
          <w:tcPr>
            <w:tcW w:w="8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54968"/>
                <w:w w:val="94"/>
              </w:rPr>
              <w:t>Restricted</w:t>
            </w:r>
          </w:p>
        </w:tc>
        <w:tc>
          <w:tcPr>
            <w:tcW w:w="1060" w:type="dxa"/>
            <w:vAlign w:val="bottom"/>
          </w:tcPr>
          <w:p>
            <w:pPr>
              <w:jc w:val="right"/>
              <w:ind w:right="7"/>
              <w:spacing w:after="0" w:line="135" w:lineRule="exact"/>
              <w:rPr>
                <w:sz w:val="20"/>
                <w:szCs w:val="20"/>
                <w:color w:val="auto"/>
              </w:rPr>
            </w:pPr>
            <w:r>
              <w:rPr>
                <w:rFonts w:ascii="Arial" w:cs="Arial" w:eastAsia="Arial" w:hAnsi="Arial"/>
                <w:sz w:val="13"/>
                <w:szCs w:val="13"/>
                <w:b w:val="1"/>
                <w:bCs w:val="1"/>
                <w:color w:val="454968"/>
              </w:rPr>
              <w:t>Units Vesting—</w:t>
            </w:r>
          </w:p>
        </w:tc>
        <w:tc>
          <w:tcPr>
            <w:tcW w:w="10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454968"/>
              </w:rPr>
              <w:t>Units Vesting—</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w w:val="99"/>
              </w:rPr>
              <w:t>Units Vesting—</w:t>
            </w: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454968"/>
              </w:rPr>
              <w:t>Original</w:t>
            </w:r>
          </w:p>
        </w:tc>
        <w:tc>
          <w:tcPr>
            <w:tcW w:w="5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Date</w:t>
            </w:r>
          </w:p>
        </w:tc>
        <w:tc>
          <w:tcPr>
            <w:tcW w:w="960" w:type="dxa"/>
            <w:vAlign w:val="bottom"/>
          </w:tcPr>
          <w:p>
            <w:pPr>
              <w:jc w:val="right"/>
              <w:ind w:right="14"/>
              <w:spacing w:after="0" w:line="135" w:lineRule="exact"/>
              <w:rPr>
                <w:sz w:val="20"/>
                <w:szCs w:val="20"/>
                <w:color w:val="auto"/>
              </w:rPr>
            </w:pPr>
            <w:r>
              <w:rPr>
                <w:rFonts w:ascii="Arial" w:cs="Arial" w:eastAsia="Arial" w:hAnsi="Arial"/>
                <w:sz w:val="13"/>
                <w:szCs w:val="13"/>
                <w:b w:val="1"/>
                <w:bCs w:val="1"/>
                <w:color w:val="454968"/>
              </w:rPr>
              <w:t>Date</w:t>
            </w:r>
          </w:p>
        </w:tc>
        <w:tc>
          <w:tcPr>
            <w:tcW w:w="1000" w:type="dxa"/>
            <w:vAlign w:val="bottom"/>
            <w:tcBorders>
              <w:right w:val="single" w:sz="8" w:color="071D49"/>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454968"/>
              </w:rPr>
              <w:t>Date</w:t>
            </w:r>
          </w:p>
        </w:tc>
        <w:tc>
          <w:tcPr>
            <w:tcW w:w="8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54968"/>
              </w:rPr>
              <w:t>Stock or</w:t>
            </w:r>
          </w:p>
        </w:tc>
        <w:tc>
          <w:tcPr>
            <w:tcW w:w="1060" w:type="dxa"/>
            <w:vAlign w:val="bottom"/>
          </w:tcPr>
          <w:p>
            <w:pPr>
              <w:jc w:val="right"/>
              <w:ind w:right="7"/>
              <w:spacing w:after="0" w:line="135" w:lineRule="exact"/>
              <w:rPr>
                <w:sz w:val="20"/>
                <w:szCs w:val="20"/>
                <w:color w:val="auto"/>
              </w:rPr>
            </w:pPr>
            <w:r>
              <w:rPr>
                <w:rFonts w:ascii="Arial" w:cs="Arial" w:eastAsia="Arial" w:hAnsi="Arial"/>
                <w:sz w:val="13"/>
                <w:szCs w:val="13"/>
                <w:b w:val="1"/>
                <w:bCs w:val="1"/>
                <w:color w:val="454968"/>
              </w:rPr>
              <w:t>Date</w:t>
            </w:r>
          </w:p>
        </w:tc>
        <w:tc>
          <w:tcPr>
            <w:tcW w:w="1080" w:type="dxa"/>
            <w:vAlign w:val="bottom"/>
          </w:tcPr>
          <w:p>
            <w:pPr>
              <w:jc w:val="right"/>
              <w:ind w:right="18"/>
              <w:spacing w:after="0" w:line="135" w:lineRule="exact"/>
              <w:rPr>
                <w:sz w:val="20"/>
                <w:szCs w:val="20"/>
                <w:color w:val="auto"/>
              </w:rPr>
            </w:pPr>
            <w:r>
              <w:rPr>
                <w:rFonts w:ascii="Arial" w:cs="Arial" w:eastAsia="Arial" w:hAnsi="Arial"/>
                <w:sz w:val="13"/>
                <w:szCs w:val="13"/>
                <w:b w:val="1"/>
                <w:bCs w:val="1"/>
                <w:color w:val="454968"/>
              </w:rPr>
              <w:t>Date</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454968"/>
              </w:rPr>
              <w:t>Date</w:t>
            </w:r>
          </w:p>
        </w:tc>
      </w:tr>
      <w:tr>
        <w:trPr>
          <w:trHeight w:val="157"/>
        </w:trPr>
        <w:tc>
          <w:tcPr>
            <w:tcW w:w="154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80" w:type="dxa"/>
            <w:vAlign w:val="bottom"/>
            <w:tcBorders>
              <w:bottom w:val="single" w:sz="8" w:color="071D49"/>
            </w:tcBorders>
          </w:tcPr>
          <w:p>
            <w:pPr>
              <w:spacing w:after="0"/>
              <w:rPr>
                <w:sz w:val="13"/>
                <w:szCs w:val="13"/>
                <w:color w:val="auto"/>
              </w:rPr>
            </w:pPr>
          </w:p>
        </w:tc>
        <w:tc>
          <w:tcPr>
            <w:tcW w:w="780" w:type="dxa"/>
            <w:vAlign w:val="bottom"/>
            <w:tcBorders>
              <w:bottom w:val="single" w:sz="8" w:color="071D49"/>
            </w:tcBorders>
            <w:gridSpan w:val="2"/>
          </w:tcPr>
          <w:p>
            <w:pPr>
              <w:jc w:val="right"/>
              <w:ind w:right="40"/>
              <w:spacing w:after="0"/>
              <w:rPr>
                <w:sz w:val="20"/>
                <w:szCs w:val="20"/>
                <w:color w:val="auto"/>
              </w:rPr>
            </w:pPr>
            <w:r>
              <w:rPr>
                <w:rFonts w:ascii="Arial" w:cs="Arial" w:eastAsia="Arial" w:hAnsi="Arial"/>
                <w:sz w:val="13"/>
                <w:szCs w:val="13"/>
                <w:b w:val="1"/>
                <w:bCs w:val="1"/>
                <w:color w:val="454968"/>
              </w:rPr>
              <w:t>Grant</w:t>
            </w:r>
          </w:p>
        </w:tc>
        <w:tc>
          <w:tcPr>
            <w:tcW w:w="940" w:type="dxa"/>
            <w:vAlign w:val="bottom"/>
            <w:tcBorders>
              <w:bottom w:val="single" w:sz="8" w:color="071D49"/>
            </w:tcBorders>
            <w:gridSpan w:val="2"/>
          </w:tcPr>
          <w:p>
            <w:pPr>
              <w:jc w:val="right"/>
              <w:spacing w:after="0"/>
              <w:rPr>
                <w:sz w:val="20"/>
                <w:szCs w:val="20"/>
                <w:color w:val="auto"/>
              </w:rPr>
            </w:pPr>
            <w:r>
              <w:rPr>
                <w:rFonts w:ascii="Arial" w:cs="Arial" w:eastAsia="Arial" w:hAnsi="Arial"/>
                <w:sz w:val="13"/>
                <w:szCs w:val="13"/>
                <w:b w:val="1"/>
                <w:bCs w:val="1"/>
                <w:color w:val="454968"/>
              </w:rPr>
              <w:t>Vested 2022</w:t>
            </w:r>
          </w:p>
        </w:tc>
        <w:tc>
          <w:tcPr>
            <w:tcW w:w="960" w:type="dxa"/>
            <w:vAlign w:val="bottom"/>
            <w:tcBorders>
              <w:bottom w:val="single" w:sz="8" w:color="071D49"/>
            </w:tcBorders>
          </w:tcPr>
          <w:p>
            <w:pPr>
              <w:jc w:val="right"/>
              <w:ind w:right="14"/>
              <w:spacing w:after="0"/>
              <w:rPr>
                <w:sz w:val="20"/>
                <w:szCs w:val="20"/>
                <w:color w:val="auto"/>
              </w:rPr>
            </w:pPr>
            <w:r>
              <w:rPr>
                <w:rFonts w:ascii="Arial" w:cs="Arial" w:eastAsia="Arial" w:hAnsi="Arial"/>
                <w:sz w:val="13"/>
                <w:szCs w:val="13"/>
                <w:b w:val="1"/>
                <w:bCs w:val="1"/>
                <w:color w:val="454968"/>
              </w:rPr>
              <w:t>Vested 2023</w:t>
            </w:r>
          </w:p>
        </w:tc>
        <w:tc>
          <w:tcPr>
            <w:tcW w:w="1000" w:type="dxa"/>
            <w:vAlign w:val="bottom"/>
            <w:tcBorders>
              <w:bottom w:val="single" w:sz="8" w:color="071D49"/>
              <w:right w:val="single" w:sz="8" w:color="071D49"/>
            </w:tcBorders>
            <w:gridSpan w:val="2"/>
          </w:tcPr>
          <w:p>
            <w:pPr>
              <w:jc w:val="right"/>
              <w:ind w:right="140"/>
              <w:spacing w:after="0"/>
              <w:rPr>
                <w:sz w:val="20"/>
                <w:szCs w:val="20"/>
                <w:color w:val="auto"/>
              </w:rPr>
            </w:pPr>
            <w:r>
              <w:rPr>
                <w:rFonts w:ascii="Arial" w:cs="Arial" w:eastAsia="Arial" w:hAnsi="Arial"/>
                <w:sz w:val="13"/>
                <w:szCs w:val="13"/>
                <w:b w:val="1"/>
                <w:bCs w:val="1"/>
                <w:color w:val="454968"/>
              </w:rPr>
              <w:t>Vested 2024</w:t>
            </w:r>
          </w:p>
        </w:tc>
        <w:tc>
          <w:tcPr>
            <w:tcW w:w="80" w:type="dxa"/>
            <w:vAlign w:val="bottom"/>
            <w:tcBorders>
              <w:bottom w:val="single" w:sz="8" w:color="071D49"/>
            </w:tcBorders>
          </w:tcPr>
          <w:p>
            <w:pPr>
              <w:spacing w:after="0"/>
              <w:rPr>
                <w:sz w:val="13"/>
                <w:szCs w:val="13"/>
                <w:color w:val="auto"/>
              </w:rPr>
            </w:pPr>
          </w:p>
        </w:tc>
        <w:tc>
          <w:tcPr>
            <w:tcW w:w="700" w:type="dxa"/>
            <w:vAlign w:val="bottom"/>
            <w:tcBorders>
              <w:bottom w:val="single" w:sz="8" w:color="071D49"/>
            </w:tcBorders>
          </w:tcPr>
          <w:p>
            <w:pPr>
              <w:jc w:val="right"/>
              <w:ind w:right="17"/>
              <w:spacing w:after="0"/>
              <w:rPr>
                <w:sz w:val="20"/>
                <w:szCs w:val="20"/>
                <w:color w:val="auto"/>
              </w:rPr>
            </w:pPr>
            <w:r>
              <w:rPr>
                <w:rFonts w:ascii="Arial" w:cs="Arial" w:eastAsia="Arial" w:hAnsi="Arial"/>
                <w:sz w:val="13"/>
                <w:szCs w:val="13"/>
                <w:b w:val="1"/>
                <w:bCs w:val="1"/>
                <w:color w:val="454968"/>
              </w:rPr>
              <w:t>Units</w:t>
            </w:r>
          </w:p>
        </w:tc>
        <w:tc>
          <w:tcPr>
            <w:tcW w:w="1060" w:type="dxa"/>
            <w:vAlign w:val="bottom"/>
            <w:tcBorders>
              <w:bottom w:val="single" w:sz="8" w:color="071D49"/>
            </w:tcBorders>
          </w:tcPr>
          <w:p>
            <w:pPr>
              <w:jc w:val="right"/>
              <w:ind w:right="7"/>
              <w:spacing w:after="0"/>
              <w:rPr>
                <w:sz w:val="20"/>
                <w:szCs w:val="20"/>
                <w:color w:val="auto"/>
              </w:rPr>
            </w:pPr>
            <w:r>
              <w:rPr>
                <w:rFonts w:ascii="Arial" w:cs="Arial" w:eastAsia="Arial" w:hAnsi="Arial"/>
                <w:sz w:val="13"/>
                <w:szCs w:val="13"/>
                <w:b w:val="1"/>
                <w:bCs w:val="1"/>
                <w:color w:val="454968"/>
              </w:rPr>
              <w:t>Vested 2022</w:t>
            </w:r>
          </w:p>
        </w:tc>
        <w:tc>
          <w:tcPr>
            <w:tcW w:w="1080" w:type="dxa"/>
            <w:vAlign w:val="bottom"/>
            <w:tcBorders>
              <w:bottom w:val="single" w:sz="8" w:color="071D49"/>
            </w:tcBorders>
          </w:tcPr>
          <w:p>
            <w:pPr>
              <w:jc w:val="right"/>
              <w:ind w:right="18"/>
              <w:spacing w:after="0"/>
              <w:rPr>
                <w:sz w:val="20"/>
                <w:szCs w:val="20"/>
                <w:color w:val="auto"/>
              </w:rPr>
            </w:pPr>
            <w:r>
              <w:rPr>
                <w:rFonts w:ascii="Arial" w:cs="Arial" w:eastAsia="Arial" w:hAnsi="Arial"/>
                <w:sz w:val="13"/>
                <w:szCs w:val="13"/>
                <w:b w:val="1"/>
                <w:bCs w:val="1"/>
                <w:color w:val="454968"/>
              </w:rPr>
              <w:t>Vested 2023</w:t>
            </w:r>
          </w:p>
        </w:tc>
        <w:tc>
          <w:tcPr>
            <w:tcW w:w="104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Vested 2024</w:t>
            </w:r>
          </w:p>
        </w:tc>
      </w:tr>
      <w:tr>
        <w:trPr>
          <w:trHeight w:val="141"/>
        </w:trPr>
        <w:tc>
          <w:tcPr>
            <w:tcW w:w="1540" w:type="dxa"/>
            <w:vAlign w:val="bottom"/>
            <w:shd w:val="clear" w:color="auto" w:fill="D9D9D9"/>
          </w:tcPr>
          <w:p>
            <w:pPr>
              <w:spacing w:after="0" w:line="141" w:lineRule="exact"/>
              <w:rPr>
                <w:sz w:val="20"/>
                <w:szCs w:val="20"/>
                <w:color w:val="auto"/>
              </w:rPr>
            </w:pPr>
            <w:r>
              <w:rPr>
                <w:rFonts w:ascii="Arial" w:cs="Arial" w:eastAsia="Arial" w:hAnsi="Arial"/>
                <w:sz w:val="13"/>
                <w:szCs w:val="13"/>
                <w:color w:val="auto"/>
              </w:rPr>
              <w:t>R. Gonzalez</w:t>
            </w:r>
          </w:p>
        </w:tc>
        <w:tc>
          <w:tcPr>
            <w:tcW w:w="860" w:type="dxa"/>
            <w:vAlign w:val="bottom"/>
            <w:gridSpan w:val="3"/>
            <w:shd w:val="clear" w:color="auto" w:fill="D9D9D9"/>
          </w:tcPr>
          <w:p>
            <w:pPr>
              <w:jc w:val="right"/>
              <w:ind w:right="40"/>
              <w:spacing w:after="0" w:line="141" w:lineRule="exact"/>
              <w:rPr>
                <w:sz w:val="20"/>
                <w:szCs w:val="20"/>
                <w:color w:val="auto"/>
              </w:rPr>
            </w:pPr>
            <w:r>
              <w:rPr>
                <w:rFonts w:ascii="Arial" w:cs="Arial" w:eastAsia="Arial" w:hAnsi="Arial"/>
                <w:sz w:val="13"/>
                <w:szCs w:val="13"/>
                <w:color w:val="auto"/>
              </w:rPr>
              <w:t>59,709</w:t>
            </w:r>
          </w:p>
        </w:tc>
        <w:tc>
          <w:tcPr>
            <w:tcW w:w="54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59,709</w:t>
            </w:r>
          </w:p>
        </w:tc>
        <w:tc>
          <w:tcPr>
            <w:tcW w:w="400" w:type="dxa"/>
            <w:vAlign w:val="bottom"/>
            <w:shd w:val="clear" w:color="auto" w:fill="D9D9D9"/>
          </w:tcPr>
          <w:p>
            <w:pPr>
              <w:jc w:val="right"/>
              <w:spacing w:after="0" w:line="141" w:lineRule="exact"/>
              <w:rPr>
                <w:sz w:val="20"/>
                <w:szCs w:val="20"/>
                <w:color w:val="auto"/>
              </w:rPr>
            </w:pPr>
            <w:r>
              <w:rPr>
                <w:rFonts w:ascii="Arial" w:cs="Arial" w:eastAsia="Arial" w:hAnsi="Arial"/>
                <w:sz w:val="13"/>
                <w:szCs w:val="13"/>
                <w:color w:val="auto"/>
              </w:rPr>
              <w:t>- 2/21</w:t>
            </w: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line="141" w:lineRule="exact"/>
              <w:rPr>
                <w:sz w:val="20"/>
                <w:szCs w:val="20"/>
                <w:color w:val="auto"/>
              </w:rPr>
            </w:pPr>
            <w:r>
              <w:rPr>
                <w:rFonts w:ascii="Arial" w:cs="Arial" w:eastAsia="Arial" w:hAnsi="Arial"/>
                <w:sz w:val="13"/>
                <w:szCs w:val="13"/>
                <w:color w:val="auto"/>
              </w:rPr>
              <w:t>58,213</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152,754</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76,377</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- 2/20</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76,377 - 2/20</w:t>
            </w: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19,404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192,546</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64,182</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- 2/18</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64,182 - 2/18</w:t>
            </w:r>
          </w:p>
        </w:tc>
        <w:tc>
          <w:tcPr>
            <w:tcW w:w="9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64,182 - 2/18</w:t>
            </w: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59,893</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(c)</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39,928</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58,534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58,534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R. Michael</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18,172</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18,172</w:t>
            </w: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- 2/21</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line="148" w:lineRule="exact"/>
              <w:rPr>
                <w:sz w:val="20"/>
                <w:szCs w:val="20"/>
                <w:color w:val="auto"/>
              </w:rPr>
            </w:pPr>
            <w:r>
              <w:rPr>
                <w:rFonts w:ascii="Arial" w:cs="Arial" w:eastAsia="Arial" w:hAnsi="Arial"/>
                <w:sz w:val="13"/>
                <w:szCs w:val="13"/>
                <w:color w:val="auto"/>
              </w:rPr>
              <w:t>17,717</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(a)</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70,921</w:t>
            </w:r>
          </w:p>
        </w:tc>
        <w:tc>
          <w:tcPr>
            <w:tcW w:w="540" w:type="dxa"/>
            <w:vAlign w:val="bottom"/>
          </w:tcPr>
          <w:p>
            <w:pPr>
              <w:jc w:val="right"/>
              <w:spacing w:after="0"/>
              <w:rPr>
                <w:sz w:val="20"/>
                <w:szCs w:val="20"/>
                <w:color w:val="auto"/>
              </w:rPr>
            </w:pPr>
            <w:r>
              <w:rPr>
                <w:rFonts w:ascii="Arial" w:cs="Arial" w:eastAsia="Arial" w:hAnsi="Arial"/>
                <w:sz w:val="13"/>
                <w:szCs w:val="13"/>
                <w:color w:val="auto"/>
              </w:rPr>
              <w:t>35,461</w:t>
            </w:r>
          </w:p>
        </w:tc>
        <w:tc>
          <w:tcPr>
            <w:tcW w:w="400" w:type="dxa"/>
            <w:vAlign w:val="bottom"/>
          </w:tcPr>
          <w:p>
            <w:pPr>
              <w:jc w:val="right"/>
              <w:spacing w:after="0"/>
              <w:rPr>
                <w:sz w:val="20"/>
                <w:szCs w:val="20"/>
                <w:color w:val="auto"/>
              </w:rPr>
            </w:pPr>
            <w:r>
              <w:rPr>
                <w:rFonts w:ascii="Arial" w:cs="Arial" w:eastAsia="Arial" w:hAnsi="Arial"/>
                <w:sz w:val="13"/>
                <w:szCs w:val="13"/>
                <w:color w:val="auto"/>
              </w:rPr>
              <w:t>- 2/20</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35,460 - 2/20</w:t>
            </w: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5,905</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(b)</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65,217</w:t>
            </w:r>
          </w:p>
        </w:tc>
        <w:tc>
          <w:tcPr>
            <w:tcW w:w="540" w:type="dxa"/>
            <w:vAlign w:val="bottom"/>
          </w:tcPr>
          <w:p>
            <w:pPr>
              <w:jc w:val="right"/>
              <w:spacing w:after="0"/>
              <w:rPr>
                <w:sz w:val="20"/>
                <w:szCs w:val="20"/>
                <w:color w:val="auto"/>
              </w:rPr>
            </w:pPr>
            <w:r>
              <w:rPr>
                <w:rFonts w:ascii="Arial" w:cs="Arial" w:eastAsia="Arial" w:hAnsi="Arial"/>
                <w:sz w:val="13"/>
                <w:szCs w:val="13"/>
                <w:color w:val="auto"/>
              </w:rPr>
              <w:t>21,739</w:t>
            </w:r>
          </w:p>
        </w:tc>
        <w:tc>
          <w:tcPr>
            <w:tcW w:w="400" w:type="dxa"/>
            <w:vAlign w:val="bottom"/>
          </w:tcPr>
          <w:p>
            <w:pPr>
              <w:jc w:val="right"/>
              <w:spacing w:after="0"/>
              <w:rPr>
                <w:sz w:val="20"/>
                <w:szCs w:val="20"/>
                <w:color w:val="auto"/>
              </w:rPr>
            </w:pPr>
            <w:r>
              <w:rPr>
                <w:rFonts w:ascii="Arial" w:cs="Arial" w:eastAsia="Arial" w:hAnsi="Arial"/>
                <w:sz w:val="13"/>
                <w:szCs w:val="13"/>
                <w:color w:val="auto"/>
              </w:rPr>
              <w:t>- 2/18</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21,739 - 2/18</w:t>
            </w:r>
          </w:p>
        </w:tc>
        <w:tc>
          <w:tcPr>
            <w:tcW w:w="900" w:type="dxa"/>
            <w:vAlign w:val="bottom"/>
          </w:tcPr>
          <w:p>
            <w:pPr>
              <w:jc w:val="right"/>
              <w:spacing w:after="0"/>
              <w:rPr>
                <w:sz w:val="20"/>
                <w:szCs w:val="20"/>
                <w:color w:val="auto"/>
              </w:rPr>
            </w:pPr>
            <w:r>
              <w:rPr>
                <w:rFonts w:ascii="Arial" w:cs="Arial" w:eastAsia="Arial" w:hAnsi="Arial"/>
                <w:sz w:val="13"/>
                <w:szCs w:val="13"/>
                <w:color w:val="auto"/>
              </w:rPr>
              <w:t>21,739 - 2/18</w:t>
            </w: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27,807</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(c)</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18,538</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(d)</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(e)</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(f)</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shd w:val="clear" w:color="auto" w:fill="D9D9D9"/>
          </w:tcPr>
          <w:p>
            <w:pPr>
              <w:spacing w:after="0" w:line="148" w:lineRule="exact"/>
              <w:rPr>
                <w:sz w:val="20"/>
                <w:szCs w:val="20"/>
                <w:color w:val="auto"/>
              </w:rPr>
            </w:pPr>
            <w:r>
              <w:rPr>
                <w:rFonts w:ascii="Arial" w:cs="Arial" w:eastAsia="Arial" w:hAnsi="Arial"/>
                <w:sz w:val="13"/>
                <w:szCs w:val="13"/>
                <w:color w:val="auto"/>
              </w:rPr>
              <w:t>L. Schumacher</w:t>
            </w:r>
          </w:p>
        </w:tc>
        <w:tc>
          <w:tcPr>
            <w:tcW w:w="860" w:type="dxa"/>
            <w:vAlign w:val="bottom"/>
            <w:gridSpan w:val="3"/>
            <w:shd w:val="clear" w:color="auto" w:fill="D9D9D9"/>
          </w:tcPr>
          <w:p>
            <w:pPr>
              <w:jc w:val="right"/>
              <w:ind w:right="40"/>
              <w:spacing w:after="0" w:line="148" w:lineRule="exact"/>
              <w:rPr>
                <w:sz w:val="20"/>
                <w:szCs w:val="20"/>
                <w:color w:val="auto"/>
              </w:rPr>
            </w:pPr>
            <w:r>
              <w:rPr>
                <w:rFonts w:ascii="Arial" w:cs="Arial" w:eastAsia="Arial" w:hAnsi="Arial"/>
                <w:sz w:val="13"/>
                <w:szCs w:val="13"/>
                <w:color w:val="auto"/>
              </w:rPr>
              <w:t>22,845</w:t>
            </w:r>
          </w:p>
        </w:tc>
        <w:tc>
          <w:tcPr>
            <w:tcW w:w="54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22,845</w:t>
            </w:r>
          </w:p>
        </w:tc>
        <w:tc>
          <w:tcPr>
            <w:tcW w:w="40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- 2/21</w:t>
            </w: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line="148" w:lineRule="exact"/>
              <w:rPr>
                <w:sz w:val="20"/>
                <w:szCs w:val="20"/>
                <w:color w:val="auto"/>
              </w:rPr>
            </w:pPr>
            <w:r>
              <w:rPr>
                <w:rFonts w:ascii="Arial" w:cs="Arial" w:eastAsia="Arial" w:hAnsi="Arial"/>
                <w:sz w:val="13"/>
                <w:szCs w:val="13"/>
                <w:color w:val="auto"/>
              </w:rPr>
              <w:t>22,272</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76,377</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38,189</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- 2/20</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38,188 - 2/20</w:t>
            </w: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7,424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65,217</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21,739</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- 2/18</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21,739 - 2/18</w:t>
            </w:r>
          </w:p>
        </w:tc>
        <w:tc>
          <w:tcPr>
            <w:tcW w:w="9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21,739 - 2/18</w:t>
            </w: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29,946</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(c)</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19,964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M. Severino</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21,495</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21,495</w:t>
            </w: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- 2/21</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line="148" w:lineRule="exact"/>
              <w:rPr>
                <w:sz w:val="20"/>
                <w:szCs w:val="20"/>
                <w:color w:val="auto"/>
              </w:rPr>
            </w:pPr>
            <w:r>
              <w:rPr>
                <w:rFonts w:ascii="Arial" w:cs="Arial" w:eastAsia="Arial" w:hAnsi="Arial"/>
                <w:sz w:val="13"/>
                <w:szCs w:val="13"/>
                <w:color w:val="auto"/>
              </w:rPr>
              <w:t>20,956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(a)</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76,377</w:t>
            </w:r>
          </w:p>
        </w:tc>
        <w:tc>
          <w:tcPr>
            <w:tcW w:w="540" w:type="dxa"/>
            <w:vAlign w:val="bottom"/>
          </w:tcPr>
          <w:p>
            <w:pPr>
              <w:jc w:val="right"/>
              <w:spacing w:after="0"/>
              <w:rPr>
                <w:sz w:val="20"/>
                <w:szCs w:val="20"/>
                <w:color w:val="auto"/>
              </w:rPr>
            </w:pPr>
            <w:r>
              <w:rPr>
                <w:rFonts w:ascii="Arial" w:cs="Arial" w:eastAsia="Arial" w:hAnsi="Arial"/>
                <w:sz w:val="13"/>
                <w:szCs w:val="13"/>
                <w:color w:val="auto"/>
              </w:rPr>
              <w:t>38,189</w:t>
            </w:r>
          </w:p>
        </w:tc>
        <w:tc>
          <w:tcPr>
            <w:tcW w:w="400" w:type="dxa"/>
            <w:vAlign w:val="bottom"/>
          </w:tcPr>
          <w:p>
            <w:pPr>
              <w:jc w:val="right"/>
              <w:spacing w:after="0"/>
              <w:rPr>
                <w:sz w:val="20"/>
                <w:szCs w:val="20"/>
                <w:color w:val="auto"/>
              </w:rPr>
            </w:pPr>
            <w:r>
              <w:rPr>
                <w:rFonts w:ascii="Arial" w:cs="Arial" w:eastAsia="Arial" w:hAnsi="Arial"/>
                <w:sz w:val="13"/>
                <w:szCs w:val="13"/>
                <w:color w:val="auto"/>
              </w:rPr>
              <w:t>- 2/20</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38,188 - 2/20</w:t>
            </w: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6,985</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(b)</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65,217</w:t>
            </w:r>
          </w:p>
        </w:tc>
        <w:tc>
          <w:tcPr>
            <w:tcW w:w="540" w:type="dxa"/>
            <w:vAlign w:val="bottom"/>
          </w:tcPr>
          <w:p>
            <w:pPr>
              <w:jc w:val="right"/>
              <w:spacing w:after="0"/>
              <w:rPr>
                <w:sz w:val="20"/>
                <w:szCs w:val="20"/>
                <w:color w:val="auto"/>
              </w:rPr>
            </w:pPr>
            <w:r>
              <w:rPr>
                <w:rFonts w:ascii="Arial" w:cs="Arial" w:eastAsia="Arial" w:hAnsi="Arial"/>
                <w:sz w:val="13"/>
                <w:szCs w:val="13"/>
                <w:color w:val="auto"/>
              </w:rPr>
              <w:t>21,739</w:t>
            </w:r>
          </w:p>
        </w:tc>
        <w:tc>
          <w:tcPr>
            <w:tcW w:w="400" w:type="dxa"/>
            <w:vAlign w:val="bottom"/>
          </w:tcPr>
          <w:p>
            <w:pPr>
              <w:jc w:val="right"/>
              <w:spacing w:after="0"/>
              <w:rPr>
                <w:sz w:val="20"/>
                <w:szCs w:val="20"/>
                <w:color w:val="auto"/>
              </w:rPr>
            </w:pPr>
            <w:r>
              <w:rPr>
                <w:rFonts w:ascii="Arial" w:cs="Arial" w:eastAsia="Arial" w:hAnsi="Arial"/>
                <w:sz w:val="13"/>
                <w:szCs w:val="13"/>
                <w:color w:val="auto"/>
              </w:rPr>
              <w:t>- 2/18</w:t>
            </w:r>
          </w:p>
        </w:tc>
        <w:tc>
          <w:tcPr>
            <w:tcW w:w="960" w:type="dxa"/>
            <w:vAlign w:val="bottom"/>
          </w:tcPr>
          <w:p>
            <w:pPr>
              <w:jc w:val="right"/>
              <w:ind w:right="14"/>
              <w:spacing w:after="0"/>
              <w:rPr>
                <w:sz w:val="20"/>
                <w:szCs w:val="20"/>
                <w:color w:val="auto"/>
              </w:rPr>
            </w:pPr>
            <w:r>
              <w:rPr>
                <w:rFonts w:ascii="Arial" w:cs="Arial" w:eastAsia="Arial" w:hAnsi="Arial"/>
                <w:sz w:val="13"/>
                <w:szCs w:val="13"/>
                <w:color w:val="auto"/>
              </w:rPr>
              <w:t>21,739 - 2/18</w:t>
            </w:r>
          </w:p>
        </w:tc>
        <w:tc>
          <w:tcPr>
            <w:tcW w:w="900" w:type="dxa"/>
            <w:vAlign w:val="bottom"/>
          </w:tcPr>
          <w:p>
            <w:pPr>
              <w:jc w:val="right"/>
              <w:spacing w:after="0"/>
              <w:rPr>
                <w:sz w:val="20"/>
                <w:szCs w:val="20"/>
                <w:color w:val="auto"/>
              </w:rPr>
            </w:pPr>
            <w:r>
              <w:rPr>
                <w:rFonts w:ascii="Arial" w:cs="Arial" w:eastAsia="Arial" w:hAnsi="Arial"/>
                <w:sz w:val="13"/>
                <w:szCs w:val="13"/>
                <w:color w:val="auto"/>
              </w:rPr>
              <w:t>21,739 - 2/18</w:t>
            </w: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29,946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(c)</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19,964</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(d)</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(e)</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right w:val="single" w:sz="8" w:color="071D49"/>
            </w:tcBorders>
          </w:tcPr>
          <w:p>
            <w:pPr>
              <w:spacing w:after="0"/>
              <w:rPr>
                <w:sz w:val="12"/>
                <w:szCs w:val="12"/>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19,826</w:t>
            </w:r>
          </w:p>
        </w:tc>
        <w:tc>
          <w:tcPr>
            <w:tcW w:w="1060" w:type="dxa"/>
            <w:vAlign w:val="bottom"/>
          </w:tcPr>
          <w:p>
            <w:pPr>
              <w:jc w:val="right"/>
              <w:ind w:right="7"/>
              <w:spacing w:after="0"/>
              <w:rPr>
                <w:sz w:val="20"/>
                <w:szCs w:val="20"/>
                <w:color w:val="auto"/>
              </w:rPr>
            </w:pPr>
            <w:r>
              <w:rPr>
                <w:rFonts w:ascii="Arial" w:cs="Arial" w:eastAsia="Arial" w:hAnsi="Arial"/>
                <w:sz w:val="10"/>
                <w:szCs w:val="10"/>
                <w:color w:val="auto"/>
              </w:rPr>
              <w:t>(f)</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1540" w:type="dxa"/>
            <w:vAlign w:val="bottom"/>
            <w:shd w:val="clear" w:color="auto" w:fill="D9D9D9"/>
          </w:tcPr>
          <w:p>
            <w:pPr>
              <w:spacing w:after="0" w:line="148" w:lineRule="exact"/>
              <w:rPr>
                <w:sz w:val="20"/>
                <w:szCs w:val="20"/>
                <w:color w:val="auto"/>
              </w:rPr>
            </w:pPr>
            <w:r>
              <w:rPr>
                <w:rFonts w:ascii="Arial" w:cs="Arial" w:eastAsia="Arial" w:hAnsi="Arial"/>
                <w:sz w:val="13"/>
                <w:szCs w:val="13"/>
                <w:color w:val="auto"/>
              </w:rPr>
              <w:t>J. Stewart</w:t>
            </w:r>
          </w:p>
        </w:tc>
        <w:tc>
          <w:tcPr>
            <w:tcW w:w="860" w:type="dxa"/>
            <w:vAlign w:val="bottom"/>
            <w:gridSpan w:val="3"/>
            <w:shd w:val="clear" w:color="auto" w:fill="D9D9D9"/>
          </w:tcPr>
          <w:p>
            <w:pPr>
              <w:jc w:val="right"/>
              <w:ind w:right="40"/>
              <w:spacing w:after="0" w:line="148" w:lineRule="exact"/>
              <w:rPr>
                <w:sz w:val="20"/>
                <w:szCs w:val="20"/>
                <w:color w:val="auto"/>
              </w:rPr>
            </w:pPr>
            <w:r>
              <w:rPr>
                <w:rFonts w:ascii="Arial" w:cs="Arial" w:eastAsia="Arial" w:hAnsi="Arial"/>
                <w:sz w:val="13"/>
                <w:szCs w:val="13"/>
                <w:color w:val="auto"/>
              </w:rPr>
              <w:t>8,567</w:t>
            </w:r>
          </w:p>
        </w:tc>
        <w:tc>
          <w:tcPr>
            <w:tcW w:w="54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8,567</w:t>
            </w:r>
          </w:p>
        </w:tc>
        <w:tc>
          <w:tcPr>
            <w:tcW w:w="400" w:type="dxa"/>
            <w:vAlign w:val="bottom"/>
            <w:shd w:val="clear" w:color="auto" w:fill="D9D9D9"/>
          </w:tcPr>
          <w:p>
            <w:pPr>
              <w:jc w:val="right"/>
              <w:spacing w:after="0" w:line="148" w:lineRule="exact"/>
              <w:rPr>
                <w:sz w:val="20"/>
                <w:szCs w:val="20"/>
                <w:color w:val="auto"/>
              </w:rPr>
            </w:pPr>
            <w:r>
              <w:rPr>
                <w:rFonts w:ascii="Arial" w:cs="Arial" w:eastAsia="Arial" w:hAnsi="Arial"/>
                <w:sz w:val="13"/>
                <w:szCs w:val="13"/>
                <w:color w:val="auto"/>
              </w:rPr>
              <w:t>- 2/21</w:t>
            </w: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line="148" w:lineRule="exact"/>
              <w:rPr>
                <w:sz w:val="20"/>
                <w:szCs w:val="20"/>
                <w:color w:val="auto"/>
              </w:rPr>
            </w:pPr>
            <w:r>
              <w:rPr>
                <w:rFonts w:ascii="Arial" w:cs="Arial" w:eastAsia="Arial" w:hAnsi="Arial"/>
                <w:sz w:val="13"/>
                <w:szCs w:val="13"/>
                <w:color w:val="auto"/>
              </w:rPr>
              <w:t>8,352</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(a)</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32,732</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16,366</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- 2/20</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16,366 - 2/20</w:t>
            </w: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2,784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(b)</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8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color w:val="auto"/>
              </w:rPr>
              <w:t>43,478</w:t>
            </w:r>
          </w:p>
        </w:tc>
        <w:tc>
          <w:tcPr>
            <w:tcW w:w="54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14,493</w:t>
            </w:r>
          </w:p>
        </w:tc>
        <w:tc>
          <w:tcPr>
            <w:tcW w:w="4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- 2/18</w:t>
            </w:r>
          </w:p>
        </w:tc>
        <w:tc>
          <w:tcPr>
            <w:tcW w:w="960" w:type="dxa"/>
            <w:vAlign w:val="bottom"/>
            <w:shd w:val="clear" w:color="auto" w:fill="D9D9D9"/>
          </w:tcPr>
          <w:p>
            <w:pPr>
              <w:jc w:val="right"/>
              <w:ind w:right="14"/>
              <w:spacing w:after="0"/>
              <w:rPr>
                <w:sz w:val="20"/>
                <w:szCs w:val="20"/>
                <w:color w:val="auto"/>
              </w:rPr>
            </w:pPr>
            <w:r>
              <w:rPr>
                <w:rFonts w:ascii="Arial" w:cs="Arial" w:eastAsia="Arial" w:hAnsi="Arial"/>
                <w:sz w:val="13"/>
                <w:szCs w:val="13"/>
                <w:color w:val="auto"/>
              </w:rPr>
              <w:t>14,493 - 2/18</w:t>
            </w:r>
          </w:p>
        </w:tc>
        <w:tc>
          <w:tcPr>
            <w:tcW w:w="9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14,492 - 2/18</w:t>
            </w: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12,834</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(c)</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8,556</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(d)</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8"/>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13,217</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(e)</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49"/>
        </w:trPr>
        <w:tc>
          <w:tcPr>
            <w:tcW w:w="154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900" w:type="dxa"/>
            <w:vAlign w:val="bottom"/>
            <w:shd w:val="clear" w:color="auto" w:fill="D9D9D9"/>
          </w:tcPr>
          <w:p>
            <w:pPr>
              <w:spacing w:after="0"/>
              <w:rPr>
                <w:sz w:val="12"/>
                <w:szCs w:val="12"/>
                <w:color w:val="auto"/>
              </w:rPr>
            </w:pPr>
          </w:p>
        </w:tc>
        <w:tc>
          <w:tcPr>
            <w:tcW w:w="100" w:type="dxa"/>
            <w:vAlign w:val="bottom"/>
            <w:tcBorders>
              <w:right w:val="single" w:sz="8" w:color="071D49"/>
            </w:tcBorders>
            <w:shd w:val="clear" w:color="auto" w:fill="D9D9D9"/>
          </w:tcPr>
          <w:p>
            <w:pPr>
              <w:spacing w:after="0"/>
              <w:rPr>
                <w:sz w:val="12"/>
                <w:szCs w:val="12"/>
                <w:color w:val="auto"/>
              </w:rPr>
            </w:pPr>
          </w:p>
        </w:tc>
        <w:tc>
          <w:tcPr>
            <w:tcW w:w="780" w:type="dxa"/>
            <w:vAlign w:val="bottom"/>
            <w:gridSpan w:val="2"/>
            <w:shd w:val="clear" w:color="auto" w:fill="D9D9D9"/>
          </w:tcPr>
          <w:p>
            <w:pPr>
              <w:jc w:val="right"/>
              <w:ind w:right="17"/>
              <w:spacing w:after="0"/>
              <w:rPr>
                <w:sz w:val="20"/>
                <w:szCs w:val="20"/>
                <w:color w:val="auto"/>
              </w:rPr>
            </w:pPr>
            <w:r>
              <w:rPr>
                <w:rFonts w:ascii="Arial" w:cs="Arial" w:eastAsia="Arial" w:hAnsi="Arial"/>
                <w:sz w:val="13"/>
                <w:szCs w:val="13"/>
                <w:color w:val="auto"/>
              </w:rPr>
              <w:t>13,217</w:t>
            </w:r>
          </w:p>
        </w:tc>
        <w:tc>
          <w:tcPr>
            <w:tcW w:w="1060" w:type="dxa"/>
            <w:vAlign w:val="bottom"/>
            <w:shd w:val="clear" w:color="auto" w:fill="D9D9D9"/>
          </w:tcPr>
          <w:p>
            <w:pPr>
              <w:jc w:val="right"/>
              <w:ind w:right="7"/>
              <w:spacing w:after="0"/>
              <w:rPr>
                <w:sz w:val="20"/>
                <w:szCs w:val="20"/>
                <w:color w:val="auto"/>
              </w:rPr>
            </w:pPr>
            <w:r>
              <w:rPr>
                <w:rFonts w:ascii="Arial" w:cs="Arial" w:eastAsia="Arial" w:hAnsi="Arial"/>
                <w:sz w:val="10"/>
                <w:szCs w:val="10"/>
                <w:color w:val="auto"/>
              </w:rPr>
              <w:t>(f)</w:t>
            </w:r>
          </w:p>
        </w:tc>
        <w:tc>
          <w:tcPr>
            <w:tcW w:w="1080" w:type="dxa"/>
            <w:vAlign w:val="bottom"/>
            <w:shd w:val="clear" w:color="auto" w:fill="D9D9D9"/>
          </w:tcPr>
          <w:p>
            <w:pPr>
              <w:spacing w:after="0"/>
              <w:rPr>
                <w:sz w:val="12"/>
                <w:szCs w:val="12"/>
                <w:color w:val="auto"/>
              </w:rPr>
            </w:pPr>
          </w:p>
        </w:tc>
        <w:tc>
          <w:tcPr>
            <w:tcW w:w="1040" w:type="dxa"/>
            <w:vAlign w:val="bottom"/>
            <w:shd w:val="clear" w:color="auto" w:fill="D9D9D9"/>
          </w:tcPr>
          <w:p>
            <w:pPr>
              <w:spacing w:after="0"/>
              <w:rPr>
                <w:sz w:val="12"/>
                <w:szCs w:val="12"/>
                <w:color w:val="auto"/>
              </w:rPr>
            </w:pPr>
          </w:p>
        </w:tc>
      </w:tr>
      <w:tr>
        <w:trPr>
          <w:trHeight w:val="108"/>
        </w:trPr>
        <w:tc>
          <w:tcPr>
            <w:tcW w:w="1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94" w:lineRule="exact"/>
        <w:rPr>
          <w:sz w:val="20"/>
          <w:szCs w:val="20"/>
          <w:color w:val="auto"/>
        </w:rPr>
      </w:pPr>
    </w:p>
    <w:p>
      <w:pPr>
        <w:ind w:left="321" w:right="40" w:hanging="321"/>
        <w:spacing w:after="0" w:line="236" w:lineRule="auto"/>
        <w:tabs>
          <w:tab w:leader="none" w:pos="3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2021 from an award made on February 21, 2019.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2019, AbbVie’s EPS performance resulted in the banking of the award at 200% of target, with vesting to be determined based on the company’s relative TSR performance during the 3-year performance period that ends December 31, 2021. In 2021, AbbVie’s 3-year relative TSR performance resulted in a final vesting on February 28, 2022 of the award at 230% of target.</w:t>
      </w:r>
    </w:p>
    <w:p>
      <w:pPr>
        <w:spacing w:after="0" w:line="205" w:lineRule="exact"/>
        <w:rPr>
          <w:rFonts w:ascii="Arial" w:cs="Arial" w:eastAsia="Arial" w:hAnsi="Arial"/>
          <w:sz w:val="18"/>
          <w:szCs w:val="18"/>
          <w:color w:val="auto"/>
        </w:rPr>
      </w:pPr>
    </w:p>
    <w:p>
      <w:pPr>
        <w:ind w:left="321" w:right="100" w:hanging="321"/>
        <w:spacing w:after="0" w:line="236" w:lineRule="auto"/>
        <w:tabs>
          <w:tab w:leader="none" w:pos="321"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2021, from an award made on February 21, 2019. The award has the potential to vest at 0% to 150% of target, in one-third increments, during a 3-year performance period based on AbbVie’s return on equity (ROE)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2021, AbbVie’s relative ROE performance resulted in the vesting on February 28, 2022 of one-third of the award at 150% of target.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-539750</wp:posOffset>
            </wp:positionV>
            <wp:extent cx="874395"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60" w:name="page61"/>
    <w:bookmarkEnd w:id="60"/>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right="40" w:hanging="321"/>
        <w:spacing w:after="0" w:line="236" w:lineRule="auto"/>
        <w:tabs>
          <w:tab w:leader="none" w:pos="3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2021 from an award made on February 20, 2020.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2020, AbbVie’s EPS performance resulted in the banking of the award at 200% of target, with vesting to be determined based on the company’s relative TSR performance during the 3-year performance period that ends December 31, 2022.</w:t>
      </w:r>
    </w:p>
    <w:p>
      <w:pPr>
        <w:spacing w:after="0" w:line="206" w:lineRule="exact"/>
        <w:rPr>
          <w:rFonts w:ascii="Arial" w:cs="Arial" w:eastAsia="Arial" w:hAnsi="Arial"/>
          <w:sz w:val="18"/>
          <w:szCs w:val="18"/>
          <w:color w:val="auto"/>
        </w:rPr>
      </w:pPr>
    </w:p>
    <w:p>
      <w:pPr>
        <w:ind w:left="321" w:right="100" w:hanging="321"/>
        <w:spacing w:after="0" w:line="236" w:lineRule="auto"/>
        <w:tabs>
          <w:tab w:leader="none" w:pos="3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2021, from an award made on February 20, 2020. The award has the potential to vest at 0% to 200% of target, in one-third increments, during a 3-year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2021, AbbVie’s relative ROIC performance resulted in the vesting on February 28, 2022 of one-third of the award at 175% of target.</w:t>
      </w:r>
    </w:p>
    <w:p>
      <w:pPr>
        <w:spacing w:after="0" w:line="207" w:lineRule="exact"/>
        <w:rPr>
          <w:rFonts w:ascii="Arial" w:cs="Arial" w:eastAsia="Arial" w:hAnsi="Arial"/>
          <w:sz w:val="18"/>
          <w:szCs w:val="18"/>
          <w:color w:val="auto"/>
        </w:rPr>
      </w:pPr>
    </w:p>
    <w:p>
      <w:pPr>
        <w:ind w:left="321" w:right="40" w:hanging="321"/>
        <w:spacing w:after="0" w:line="236" w:lineRule="auto"/>
        <w:tabs>
          <w:tab w:leader="none" w:pos="3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are performance shares that remained outstanding and unvested on December 31, 2021 from an award made on February 18, 2021.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2021, AbbVie’s EPS performance resulted in the banking of the award at 200% of target, with vesting to be determined based on the company’s relative TSR performance during the 3-year performance period that ends December 31, 2023.</w:t>
      </w:r>
    </w:p>
    <w:p>
      <w:pPr>
        <w:spacing w:after="0" w:line="206" w:lineRule="exact"/>
        <w:rPr>
          <w:rFonts w:ascii="Arial" w:cs="Arial" w:eastAsia="Arial" w:hAnsi="Arial"/>
          <w:sz w:val="18"/>
          <w:szCs w:val="18"/>
          <w:color w:val="auto"/>
        </w:rPr>
      </w:pPr>
    </w:p>
    <w:p>
      <w:pPr>
        <w:ind w:left="321" w:right="100" w:hanging="321"/>
        <w:spacing w:after="0" w:line="236" w:lineRule="auto"/>
        <w:tabs>
          <w:tab w:leader="none" w:pos="32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are performance-vested restricted stock units that remained outstanding and unvested on December 31, 2021, from an award made on February 18, 2021. The award has the potential to vest at 0% to 200% of target, in one-third increments, during a 3-year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2021, AbbVie’s relative ROIC performance resulted in the vesting on February 28, 2022 of one-third of the award at 175% of target.</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32"/>
          <w:szCs w:val="32"/>
          <w:color w:val="auto"/>
        </w:rPr>
        <w:t>2021 Option Exercises and Stock Vested</w:t>
      </w:r>
    </w:p>
    <w:p>
      <w:pPr>
        <w:spacing w:after="0" w:line="221" w:lineRule="exact"/>
        <w:rPr>
          <w:sz w:val="20"/>
          <w:szCs w:val="20"/>
          <w:color w:val="auto"/>
        </w:rPr>
      </w:pPr>
    </w:p>
    <w:p>
      <w:pPr>
        <w:ind w:left="1" w:right="540"/>
        <w:spacing w:after="0" w:line="246" w:lineRule="auto"/>
        <w:rPr>
          <w:sz w:val="20"/>
          <w:szCs w:val="20"/>
          <w:color w:val="auto"/>
        </w:rPr>
      </w:pPr>
      <w:r>
        <w:rPr>
          <w:rFonts w:ascii="Arial" w:cs="Arial" w:eastAsia="Arial" w:hAnsi="Arial"/>
          <w:sz w:val="18"/>
          <w:szCs w:val="18"/>
          <w:color w:val="auto"/>
        </w:rPr>
        <w:t>The following table summarizes for each NEO the number of shares acquired on the exercise of AbbVie stock options and the number of shares acquired on the vesting of AbbVie stock awards in 2021:</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20" w:type="dxa"/>
            <w:vAlign w:val="bottom"/>
            <w:gridSpan w:val="4"/>
          </w:tcPr>
          <w:p>
            <w:pPr>
              <w:ind w:left="680"/>
              <w:spacing w:after="0"/>
              <w:rPr>
                <w:sz w:val="20"/>
                <w:szCs w:val="20"/>
                <w:color w:val="auto"/>
              </w:rPr>
            </w:pPr>
            <w:r>
              <w:rPr>
                <w:rFonts w:ascii="Arial" w:cs="Arial" w:eastAsia="Arial" w:hAnsi="Arial"/>
                <w:sz w:val="14"/>
                <w:szCs w:val="14"/>
                <w:b w:val="1"/>
                <w:bCs w:val="1"/>
                <w:color w:val="454968"/>
              </w:rPr>
              <w:t>Option Awards</w:t>
            </w:r>
          </w:p>
        </w:tc>
        <w:tc>
          <w:tcPr>
            <w:tcW w:w="2480" w:type="dxa"/>
            <w:vAlign w:val="bottom"/>
            <w:gridSpan w:val="2"/>
          </w:tcPr>
          <w:p>
            <w:pPr>
              <w:jc w:val="right"/>
              <w:ind w:right="697"/>
              <w:spacing w:after="0"/>
              <w:rPr>
                <w:sz w:val="20"/>
                <w:szCs w:val="20"/>
                <w:color w:val="auto"/>
              </w:rPr>
            </w:pPr>
            <w:r>
              <w:rPr>
                <w:rFonts w:ascii="Arial" w:cs="Arial" w:eastAsia="Arial" w:hAnsi="Arial"/>
                <w:sz w:val="14"/>
                <w:szCs w:val="14"/>
                <w:b w:val="1"/>
                <w:bCs w:val="1"/>
                <w:color w:val="454968"/>
              </w:rPr>
              <w:t>Stock Awards</w:t>
            </w:r>
          </w:p>
        </w:tc>
      </w:tr>
      <w:tr>
        <w:trPr>
          <w:trHeight w:val="142"/>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tcBorders>
              <w:top w:val="single" w:sz="8" w:color="071D49"/>
            </w:tcBorders>
          </w:tcPr>
          <w:p>
            <w:pPr>
              <w:jc w:val="right"/>
              <w:ind w:right="45"/>
              <w:spacing w:after="0" w:line="143" w:lineRule="exact"/>
              <w:rPr>
                <w:sz w:val="20"/>
                <w:szCs w:val="20"/>
                <w:color w:val="auto"/>
              </w:rPr>
            </w:pPr>
            <w:r>
              <w:rPr>
                <w:rFonts w:ascii="Arial" w:cs="Arial" w:eastAsia="Arial" w:hAnsi="Arial"/>
                <w:sz w:val="14"/>
                <w:szCs w:val="14"/>
                <w:b w:val="1"/>
                <w:bCs w:val="1"/>
                <w:color w:val="454968"/>
              </w:rPr>
              <w:t>Number of</w:t>
            </w:r>
          </w:p>
        </w:tc>
        <w:tc>
          <w:tcPr>
            <w:tcW w:w="1380" w:type="dxa"/>
            <w:vAlign w:val="bottom"/>
            <w:tcBorders>
              <w:top w:val="single" w:sz="8" w:color="071D49"/>
            </w:tcBorders>
          </w:tcPr>
          <w:p>
            <w:pPr>
              <w:spacing w:after="0"/>
              <w:rPr>
                <w:sz w:val="12"/>
                <w:szCs w:val="12"/>
                <w:color w:val="auto"/>
              </w:rPr>
            </w:pPr>
          </w:p>
        </w:tc>
        <w:tc>
          <w:tcPr>
            <w:tcW w:w="140" w:type="dxa"/>
            <w:vAlign w:val="bottom"/>
            <w:tcBorders>
              <w:right w:val="single" w:sz="8" w:color="071D49"/>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071D49"/>
            </w:tcBorders>
          </w:tcPr>
          <w:p>
            <w:pPr>
              <w:jc w:val="right"/>
              <w:ind w:right="59"/>
              <w:spacing w:after="0" w:line="143" w:lineRule="exact"/>
              <w:rPr>
                <w:sz w:val="20"/>
                <w:szCs w:val="20"/>
                <w:color w:val="auto"/>
              </w:rPr>
            </w:pPr>
            <w:r>
              <w:rPr>
                <w:rFonts w:ascii="Arial" w:cs="Arial" w:eastAsia="Arial" w:hAnsi="Arial"/>
                <w:sz w:val="14"/>
                <w:szCs w:val="14"/>
                <w:b w:val="1"/>
                <w:bCs w:val="1"/>
                <w:color w:val="454968"/>
              </w:rPr>
              <w:t>Number of</w:t>
            </w:r>
          </w:p>
        </w:tc>
        <w:tc>
          <w:tcPr>
            <w:tcW w:w="1460" w:type="dxa"/>
            <w:vAlign w:val="bottom"/>
            <w:tcBorders>
              <w:top w:val="single" w:sz="8" w:color="071D49"/>
            </w:tcBorders>
          </w:tcPr>
          <w:p>
            <w:pPr>
              <w:spacing w:after="0"/>
              <w:rPr>
                <w:sz w:val="12"/>
                <w:szCs w:val="12"/>
                <w:color w:val="auto"/>
              </w:rPr>
            </w:pPr>
          </w:p>
        </w:tc>
      </w:tr>
      <w:tr>
        <w:trPr>
          <w:trHeight w:val="162"/>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tcPr>
          <w:p>
            <w:pPr>
              <w:jc w:val="right"/>
              <w:ind w:right="45"/>
              <w:spacing w:after="0"/>
              <w:rPr>
                <w:sz w:val="20"/>
                <w:szCs w:val="20"/>
                <w:color w:val="auto"/>
              </w:rPr>
            </w:pPr>
            <w:r>
              <w:rPr>
                <w:rFonts w:ascii="Arial" w:cs="Arial" w:eastAsia="Arial" w:hAnsi="Arial"/>
                <w:sz w:val="14"/>
                <w:szCs w:val="14"/>
                <w:b w:val="1"/>
                <w:bCs w:val="1"/>
                <w:color w:val="454968"/>
              </w:rPr>
              <w:t>Shares</w:t>
            </w:r>
          </w:p>
        </w:tc>
        <w:tc>
          <w:tcPr>
            <w:tcW w:w="15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4"/>
                <w:szCs w:val="14"/>
                <w:b w:val="1"/>
                <w:bCs w:val="1"/>
                <w:color w:val="454968"/>
              </w:rPr>
              <w:t>Value</w:t>
            </w:r>
          </w:p>
        </w:tc>
        <w:tc>
          <w:tcPr>
            <w:tcW w:w="10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454968"/>
              </w:rPr>
              <w:t>Shares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454968"/>
              </w:rPr>
              <w:t>Value</w:t>
            </w:r>
          </w:p>
        </w:tc>
      </w:tr>
      <w:tr>
        <w:trPr>
          <w:trHeight w:val="162"/>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tcPr>
          <w:p>
            <w:pPr>
              <w:jc w:val="right"/>
              <w:ind w:right="45"/>
              <w:spacing w:after="0"/>
              <w:rPr>
                <w:sz w:val="20"/>
                <w:szCs w:val="20"/>
                <w:color w:val="auto"/>
              </w:rPr>
            </w:pPr>
            <w:r>
              <w:rPr>
                <w:rFonts w:ascii="Arial" w:cs="Arial" w:eastAsia="Arial" w:hAnsi="Arial"/>
                <w:sz w:val="14"/>
                <w:szCs w:val="14"/>
                <w:b w:val="1"/>
                <w:bCs w:val="1"/>
                <w:color w:val="454968"/>
              </w:rPr>
              <w:t>Acquired On</w:t>
            </w:r>
          </w:p>
        </w:tc>
        <w:tc>
          <w:tcPr>
            <w:tcW w:w="15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4"/>
                <w:szCs w:val="14"/>
                <w:b w:val="1"/>
                <w:bCs w:val="1"/>
                <w:color w:val="454968"/>
              </w:rPr>
              <w:t>Realized On</w:t>
            </w:r>
          </w:p>
        </w:tc>
        <w:tc>
          <w:tcPr>
            <w:tcW w:w="10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454968"/>
              </w:rPr>
              <w:t>Acquired On</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454968"/>
              </w:rPr>
              <w:t>Realized On</w:t>
            </w:r>
          </w:p>
        </w:tc>
      </w:tr>
      <w:tr>
        <w:trPr>
          <w:trHeight w:val="175"/>
        </w:trPr>
        <w:tc>
          <w:tcPr>
            <w:tcW w:w="1620" w:type="dxa"/>
            <w:vAlign w:val="bottom"/>
          </w:tcPr>
          <w:p>
            <w:pPr>
              <w:spacing w:after="0"/>
              <w:rPr>
                <w:sz w:val="20"/>
                <w:szCs w:val="20"/>
                <w:color w:val="auto"/>
              </w:rPr>
            </w:pPr>
            <w:r>
              <w:rPr>
                <w:rFonts w:ascii="Arial" w:cs="Arial" w:eastAsia="Arial" w:hAnsi="Arial"/>
                <w:sz w:val="14"/>
                <w:szCs w:val="14"/>
                <w:b w:val="1"/>
                <w:bCs w:val="1"/>
                <w:color w:val="454968"/>
              </w:rPr>
              <w:t>Name</w:t>
            </w:r>
          </w:p>
        </w:tc>
        <w:tc>
          <w:tcPr>
            <w:tcW w:w="2540" w:type="dxa"/>
            <w:vAlign w:val="bottom"/>
          </w:tcPr>
          <w:p>
            <w:pPr>
              <w:spacing w:after="0"/>
              <w:rPr>
                <w:sz w:val="15"/>
                <w:szCs w:val="15"/>
                <w:color w:val="auto"/>
              </w:rPr>
            </w:pPr>
          </w:p>
        </w:tc>
        <w:tc>
          <w:tcPr>
            <w:tcW w:w="1000" w:type="dxa"/>
            <w:vAlign w:val="bottom"/>
          </w:tcPr>
          <w:p>
            <w:pPr>
              <w:jc w:val="right"/>
              <w:ind w:right="45"/>
              <w:spacing w:after="0"/>
              <w:rPr>
                <w:sz w:val="20"/>
                <w:szCs w:val="20"/>
                <w:color w:val="auto"/>
              </w:rPr>
            </w:pPr>
            <w:r>
              <w:rPr>
                <w:rFonts w:ascii="Arial" w:cs="Arial" w:eastAsia="Arial" w:hAnsi="Arial"/>
                <w:sz w:val="14"/>
                <w:szCs w:val="14"/>
                <w:b w:val="1"/>
                <w:bCs w:val="1"/>
                <w:color w:val="454968"/>
              </w:rPr>
              <w:t>Exercise (#)</w:t>
            </w:r>
          </w:p>
        </w:tc>
        <w:tc>
          <w:tcPr>
            <w:tcW w:w="15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4"/>
                <w:szCs w:val="14"/>
                <w:b w:val="1"/>
                <w:bCs w:val="1"/>
                <w:color w:val="454968"/>
              </w:rPr>
              <w:t>Exercise ($)</w:t>
            </w:r>
          </w:p>
        </w:tc>
        <w:tc>
          <w:tcPr>
            <w:tcW w:w="10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454968"/>
              </w:rPr>
              <w:t>Vesting (#)</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454968"/>
              </w:rPr>
              <w:t>Vesting ($)</w:t>
            </w:r>
          </w:p>
        </w:tc>
      </w:tr>
      <w:tr>
        <w:trPr>
          <w:trHeight w:val="196"/>
        </w:trPr>
        <w:tc>
          <w:tcPr>
            <w:tcW w:w="1620" w:type="dxa"/>
            <w:vAlign w:val="bottom"/>
            <w:tcBorders>
              <w:top w:val="single" w:sz="8" w:color="D9D9D9"/>
            </w:tcBorders>
            <w:shd w:val="clear" w:color="auto" w:fill="D9D9D9"/>
          </w:tcPr>
          <w:p>
            <w:pPr>
              <w:spacing w:after="0" w:line="196" w:lineRule="exact"/>
              <w:rPr>
                <w:sz w:val="20"/>
                <w:szCs w:val="20"/>
                <w:color w:val="auto"/>
              </w:rPr>
            </w:pPr>
            <w:r>
              <w:rPr>
                <w:rFonts w:ascii="Arial" w:cs="Arial" w:eastAsia="Arial" w:hAnsi="Arial"/>
                <w:sz w:val="18"/>
                <w:szCs w:val="18"/>
                <w:color w:val="auto"/>
              </w:rPr>
              <w:t>R. Gonzalez</w:t>
            </w:r>
          </w:p>
        </w:tc>
        <w:tc>
          <w:tcPr>
            <w:tcW w:w="2540" w:type="dxa"/>
            <w:vAlign w:val="bottom"/>
            <w:tcBorders>
              <w:top w:val="single" w:sz="8" w:color="D9D9D9"/>
            </w:tcBorders>
            <w:shd w:val="clear" w:color="auto" w:fill="D9D9D9"/>
          </w:tcPr>
          <w:p>
            <w:pPr>
              <w:spacing w:after="0"/>
              <w:rPr>
                <w:sz w:val="17"/>
                <w:szCs w:val="17"/>
                <w:color w:val="auto"/>
              </w:rPr>
            </w:pPr>
          </w:p>
        </w:tc>
        <w:tc>
          <w:tcPr>
            <w:tcW w:w="1000" w:type="dxa"/>
            <w:vAlign w:val="bottom"/>
            <w:tcBorders>
              <w:top w:val="single" w:sz="8" w:color="071D49"/>
            </w:tcBorders>
            <w:shd w:val="clear" w:color="auto" w:fill="D9D9D9"/>
          </w:tcPr>
          <w:p>
            <w:pPr>
              <w:jc w:val="right"/>
              <w:ind w:right="65"/>
              <w:spacing w:after="0" w:line="196" w:lineRule="exact"/>
              <w:rPr>
                <w:sz w:val="20"/>
                <w:szCs w:val="20"/>
                <w:color w:val="auto"/>
              </w:rPr>
            </w:pPr>
            <w:r>
              <w:rPr>
                <w:rFonts w:ascii="Arial" w:cs="Arial" w:eastAsia="Arial" w:hAnsi="Arial"/>
                <w:sz w:val="18"/>
                <w:szCs w:val="18"/>
                <w:color w:val="auto"/>
              </w:rPr>
              <w:t>344,213</w:t>
            </w:r>
          </w:p>
        </w:tc>
        <w:tc>
          <w:tcPr>
            <w:tcW w:w="1380" w:type="dxa"/>
            <w:vAlign w:val="bottom"/>
            <w:tcBorders>
              <w:top w:val="single" w:sz="8" w:color="071D49"/>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  19,914,668</w:t>
            </w:r>
          </w:p>
        </w:tc>
        <w:tc>
          <w:tcPr>
            <w:tcW w:w="140" w:type="dxa"/>
            <w:vAlign w:val="bottom"/>
            <w:tcBorders>
              <w:top w:val="single" w:sz="8" w:color="D9D9D9"/>
              <w:right w:val="single" w:sz="8" w:color="071D49"/>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1020" w:type="dxa"/>
            <w:vAlign w:val="bottom"/>
            <w:tcBorders>
              <w:top w:val="single" w:sz="8" w:color="071D49"/>
            </w:tcBorders>
            <w:shd w:val="clear" w:color="auto" w:fill="D9D9D9"/>
          </w:tcPr>
          <w:p>
            <w:pPr>
              <w:jc w:val="right"/>
              <w:ind w:right="79"/>
              <w:spacing w:after="0" w:line="196" w:lineRule="exact"/>
              <w:rPr>
                <w:sz w:val="20"/>
                <w:szCs w:val="20"/>
                <w:color w:val="auto"/>
              </w:rPr>
            </w:pPr>
            <w:r>
              <w:rPr>
                <w:rFonts w:ascii="Arial" w:cs="Arial" w:eastAsia="Arial" w:hAnsi="Arial"/>
                <w:sz w:val="18"/>
                <w:szCs w:val="18"/>
                <w:color w:val="auto"/>
              </w:rPr>
              <w:t>167,906</w:t>
            </w:r>
          </w:p>
        </w:tc>
        <w:tc>
          <w:tcPr>
            <w:tcW w:w="1460" w:type="dxa"/>
            <w:vAlign w:val="bottom"/>
            <w:tcBorders>
              <w:top w:val="single" w:sz="8" w:color="071D49"/>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   18,090,192</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R. Michael</w:t>
            </w:r>
          </w:p>
        </w:tc>
        <w:tc>
          <w:tcPr>
            <w:tcW w:w="3540" w:type="dxa"/>
            <w:vAlign w:val="bottom"/>
            <w:gridSpan w:val="2"/>
          </w:tcPr>
          <w:p>
            <w:pPr>
              <w:jc w:val="right"/>
              <w:ind w:right="65"/>
              <w:spacing w:after="0" w:line="202" w:lineRule="exact"/>
              <w:rPr>
                <w:sz w:val="20"/>
                <w:szCs w:val="20"/>
                <w:color w:val="auto"/>
              </w:rPr>
            </w:pPr>
            <w:r>
              <w:rPr>
                <w:rFonts w:ascii="Arial" w:cs="Arial" w:eastAsia="Arial" w:hAnsi="Arial"/>
                <w:sz w:val="18"/>
                <w:szCs w:val="18"/>
                <w:color w:val="auto"/>
              </w:rPr>
              <w:t>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40" w:type="dxa"/>
            <w:vAlign w:val="bottom"/>
            <w:tcBorders>
              <w:right w:val="single" w:sz="8" w:color="071D49"/>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31,613</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3,405,985</w:t>
            </w:r>
          </w:p>
        </w:tc>
      </w:tr>
      <w:tr>
        <w:trPr>
          <w:trHeight w:val="202"/>
        </w:trPr>
        <w:tc>
          <w:tcPr>
            <w:tcW w:w="16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 Schumacher</w:t>
            </w:r>
          </w:p>
        </w:tc>
        <w:tc>
          <w:tcPr>
            <w:tcW w:w="3540" w:type="dxa"/>
            <w:vAlign w:val="bottom"/>
            <w:gridSpan w:val="2"/>
            <w:shd w:val="clear" w:color="auto" w:fill="D9D9D9"/>
          </w:tcPr>
          <w:p>
            <w:pPr>
              <w:jc w:val="right"/>
              <w:ind w:right="65"/>
              <w:spacing w:after="0" w:line="202" w:lineRule="exact"/>
              <w:rPr>
                <w:sz w:val="20"/>
                <w:szCs w:val="20"/>
                <w:color w:val="auto"/>
              </w:rPr>
            </w:pPr>
            <w:r>
              <w:rPr>
                <w:rFonts w:ascii="Arial" w:cs="Arial" w:eastAsia="Arial" w:hAnsi="Arial"/>
                <w:sz w:val="18"/>
                <w:szCs w:val="18"/>
                <w:color w:val="auto"/>
              </w:rPr>
              <w:t>181,670</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13,279,318</w:t>
            </w:r>
          </w:p>
        </w:tc>
        <w:tc>
          <w:tcPr>
            <w:tcW w:w="140" w:type="dxa"/>
            <w:vAlign w:val="bottom"/>
            <w:tcBorders>
              <w:right w:val="single" w:sz="8" w:color="071D49"/>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9D9D9"/>
          </w:tcPr>
          <w:p>
            <w:pPr>
              <w:jc w:val="right"/>
              <w:ind w:right="79"/>
              <w:spacing w:after="0" w:line="202" w:lineRule="exact"/>
              <w:rPr>
                <w:sz w:val="20"/>
                <w:szCs w:val="20"/>
                <w:color w:val="auto"/>
              </w:rPr>
            </w:pPr>
            <w:r>
              <w:rPr>
                <w:rFonts w:ascii="Arial" w:cs="Arial" w:eastAsia="Arial" w:hAnsi="Arial"/>
                <w:sz w:val="18"/>
                <w:szCs w:val="18"/>
                <w:color w:val="auto"/>
              </w:rPr>
              <w:t>65,915</w:t>
            </w:r>
          </w:p>
        </w:tc>
        <w:tc>
          <w:tcPr>
            <w:tcW w:w="14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7,101,682</w:t>
            </w:r>
          </w:p>
        </w:tc>
      </w:tr>
      <w:tr>
        <w:trPr>
          <w:trHeight w:val="203"/>
        </w:trPr>
        <w:tc>
          <w:tcPr>
            <w:tcW w:w="1620" w:type="dxa"/>
            <w:vAlign w:val="bottom"/>
          </w:tcPr>
          <w:p>
            <w:pPr>
              <w:spacing w:after="0" w:line="202" w:lineRule="exact"/>
              <w:rPr>
                <w:sz w:val="20"/>
                <w:szCs w:val="20"/>
                <w:color w:val="auto"/>
              </w:rPr>
            </w:pPr>
            <w:r>
              <w:rPr>
                <w:rFonts w:ascii="Arial" w:cs="Arial" w:eastAsia="Arial" w:hAnsi="Arial"/>
                <w:sz w:val="18"/>
                <w:szCs w:val="18"/>
                <w:color w:val="auto"/>
              </w:rPr>
              <w:t>M. Severino</w:t>
            </w:r>
          </w:p>
        </w:tc>
        <w:tc>
          <w:tcPr>
            <w:tcW w:w="3540" w:type="dxa"/>
            <w:vAlign w:val="bottom"/>
            <w:gridSpan w:val="2"/>
          </w:tcPr>
          <w:p>
            <w:pPr>
              <w:jc w:val="right"/>
              <w:ind w:right="65"/>
              <w:spacing w:after="0" w:line="202" w:lineRule="exact"/>
              <w:rPr>
                <w:sz w:val="20"/>
                <w:szCs w:val="20"/>
                <w:color w:val="auto"/>
              </w:rPr>
            </w:pPr>
            <w:r>
              <w:rPr>
                <w:rFonts w:ascii="Arial" w:cs="Arial" w:eastAsia="Arial" w:hAnsi="Arial"/>
                <w:sz w:val="18"/>
                <w:szCs w:val="18"/>
                <w:color w:val="auto"/>
              </w:rPr>
              <w:t>0</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40" w:type="dxa"/>
            <w:vAlign w:val="bottom"/>
            <w:tcBorders>
              <w:right w:val="single" w:sz="8" w:color="071D49"/>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9"/>
              <w:spacing w:after="0" w:line="202" w:lineRule="exact"/>
              <w:rPr>
                <w:sz w:val="20"/>
                <w:szCs w:val="20"/>
                <w:color w:val="auto"/>
              </w:rPr>
            </w:pPr>
            <w:r>
              <w:rPr>
                <w:rFonts w:ascii="Arial" w:cs="Arial" w:eastAsia="Arial" w:hAnsi="Arial"/>
                <w:sz w:val="18"/>
                <w:szCs w:val="18"/>
                <w:color w:val="auto"/>
              </w:rPr>
              <w:t>65,631</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7,071,084</w:t>
            </w:r>
          </w:p>
        </w:tc>
      </w:tr>
      <w:tr>
        <w:trPr>
          <w:trHeight w:val="203"/>
        </w:trPr>
        <w:tc>
          <w:tcPr>
            <w:tcW w:w="16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J. Stewart</w:t>
            </w:r>
          </w:p>
        </w:tc>
        <w:tc>
          <w:tcPr>
            <w:tcW w:w="3540" w:type="dxa"/>
            <w:vAlign w:val="bottom"/>
            <w:gridSpan w:val="2"/>
            <w:shd w:val="clear" w:color="auto" w:fill="D9D9D9"/>
          </w:tcPr>
          <w:p>
            <w:pPr>
              <w:jc w:val="right"/>
              <w:ind w:right="65"/>
              <w:spacing w:after="0" w:line="202" w:lineRule="exact"/>
              <w:rPr>
                <w:sz w:val="20"/>
                <w:szCs w:val="20"/>
                <w:color w:val="auto"/>
              </w:rPr>
            </w:pPr>
            <w:r>
              <w:rPr>
                <w:rFonts w:ascii="Arial" w:cs="Arial" w:eastAsia="Arial" w:hAnsi="Arial"/>
                <w:sz w:val="18"/>
                <w:szCs w:val="18"/>
                <w:color w:val="auto"/>
              </w:rPr>
              <w:t>0</w:t>
            </w:r>
          </w:p>
        </w:tc>
        <w:tc>
          <w:tcPr>
            <w:tcW w:w="13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w:t>
            </w:r>
          </w:p>
        </w:tc>
        <w:tc>
          <w:tcPr>
            <w:tcW w:w="140" w:type="dxa"/>
            <w:vAlign w:val="bottom"/>
            <w:tcBorders>
              <w:right w:val="single" w:sz="8" w:color="071D49"/>
            </w:tcBorders>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9D9D9"/>
          </w:tcPr>
          <w:p>
            <w:pPr>
              <w:jc w:val="right"/>
              <w:ind w:right="79"/>
              <w:spacing w:after="0" w:line="202" w:lineRule="exact"/>
              <w:rPr>
                <w:sz w:val="20"/>
                <w:szCs w:val="20"/>
                <w:color w:val="auto"/>
              </w:rPr>
            </w:pPr>
            <w:r>
              <w:rPr>
                <w:rFonts w:ascii="Arial" w:cs="Arial" w:eastAsia="Arial" w:hAnsi="Arial"/>
                <w:sz w:val="18"/>
                <w:szCs w:val="18"/>
                <w:color w:val="auto"/>
              </w:rPr>
              <w:t>28,595</w:t>
            </w:r>
          </w:p>
        </w:tc>
        <w:tc>
          <w:tcPr>
            <w:tcW w:w="14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3,144,250</w:t>
            </w:r>
          </w:p>
        </w:tc>
      </w:tr>
      <w:tr>
        <w:trPr>
          <w:trHeight w:val="958"/>
        </w:trPr>
        <w:tc>
          <w:tcPr>
            <w:tcW w:w="1620" w:type="dxa"/>
            <w:vAlign w:val="bottom"/>
          </w:tcPr>
          <w:p>
            <w:pPr>
              <w:spacing w:after="0"/>
              <w:rPr>
                <w:sz w:val="20"/>
                <w:szCs w:val="20"/>
                <w:color w:val="auto"/>
              </w:rPr>
            </w:pPr>
            <w:r>
              <w:rPr>
                <w:rFonts w:ascii="Arial" w:cs="Arial" w:eastAsia="Arial" w:hAnsi="Arial"/>
                <w:sz w:val="18"/>
                <w:szCs w:val="18"/>
                <w:color w:val="auto"/>
              </w:rPr>
              <w:t>58</w:t>
            </w:r>
          </w:p>
        </w:tc>
        <w:tc>
          <w:tcPr>
            <w:tcW w:w="3540" w:type="dxa"/>
            <w:vAlign w:val="bottom"/>
            <w:gridSpan w:val="2"/>
          </w:tcPr>
          <w:p>
            <w:pPr>
              <w:jc w:val="right"/>
              <w:ind w:right="965"/>
              <w:spacing w:after="0"/>
              <w:rPr>
                <w:sz w:val="20"/>
                <w:szCs w:val="20"/>
                <w:color w:val="auto"/>
              </w:rPr>
            </w:pPr>
            <w:r>
              <w:rPr>
                <w:rFonts w:ascii="Arial" w:cs="Arial" w:eastAsia="Arial" w:hAnsi="Arial"/>
                <w:sz w:val="27"/>
                <w:szCs w:val="27"/>
                <w:color w:val="auto"/>
              </w:rPr>
              <w:t xml:space="preserve">|  </w:t>
            </w:r>
            <w:r>
              <w:rPr>
                <w:rFonts w:ascii="Arial" w:cs="Arial" w:eastAsia="Arial" w:hAnsi="Arial"/>
                <w:sz w:val="17"/>
                <w:szCs w:val="17"/>
                <w:i w:val="1"/>
                <w:iCs w:val="1"/>
                <w:color w:val="auto"/>
              </w:rPr>
              <w:t>2022 Proxy Statement</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34"/>
        </w:trPr>
        <w:tc>
          <w:tcPr>
            <w:tcW w:w="1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-539750</wp:posOffset>
            </wp:positionV>
            <wp:extent cx="874395"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61" w:name="page62"/>
    <w:bookmarkEnd w:id="61"/>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PENSION BENEFITS</w:t>
      </w:r>
    </w:p>
    <w:p>
      <w:pPr>
        <w:spacing w:after="0" w:line="193" w:lineRule="exact"/>
        <w:rPr>
          <w:sz w:val="20"/>
          <w:szCs w:val="20"/>
          <w:color w:val="auto"/>
        </w:rPr>
      </w:pPr>
    </w:p>
    <w:p>
      <w:pPr>
        <w:ind w:left="1" w:right="300"/>
        <w:spacing w:after="0" w:line="255" w:lineRule="auto"/>
        <w:rPr>
          <w:sz w:val="20"/>
          <w:szCs w:val="20"/>
          <w:color w:val="auto"/>
        </w:rPr>
      </w:pPr>
      <w:r>
        <w:rPr>
          <w:rFonts w:ascii="Arial" w:cs="Arial" w:eastAsia="Arial" w:hAnsi="Arial"/>
          <w:sz w:val="17"/>
          <w:szCs w:val="17"/>
          <w:color w:val="auto"/>
        </w:rPr>
        <w:t>During 2021, the NEOs participated in two AbbVie-sponsored defined benefit pension plans: the AbbVie Pension Plan, a tax-qualified pension plan; and the AbbVie Supplemental Pension Plan, a non-qualified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190" w:lineRule="exact"/>
        <w:rPr>
          <w:sz w:val="20"/>
          <w:szCs w:val="20"/>
          <w:color w:val="auto"/>
        </w:rPr>
      </w:pPr>
    </w:p>
    <w:p>
      <w:pPr>
        <w:ind w:left="1" w:right="180"/>
        <w:spacing w:after="0" w:line="246" w:lineRule="auto"/>
        <w:rPr>
          <w:sz w:val="20"/>
          <w:szCs w:val="20"/>
          <w:color w:val="auto"/>
        </w:rPr>
      </w:pPr>
      <w:r>
        <w:rPr>
          <w:rFonts w:ascii="Arial" w:cs="Arial" w:eastAsia="Arial" w:hAnsi="Arial"/>
          <w:sz w:val="18"/>
          <w:szCs w:val="18"/>
          <w:color w:val="auto"/>
        </w:rPr>
        <w:t>The compensation considered in determining the pensions payable to the NEOs is the compensation shown in the “Salary” and “Non-Equity Incentive Plan Compensation” columns of the Summary Compensation Table.</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PENSION PLAN</w:t>
      </w:r>
    </w:p>
    <w:p>
      <w:pPr>
        <w:spacing w:after="0" w:line="193" w:lineRule="exact"/>
        <w:rPr>
          <w:sz w:val="20"/>
          <w:szCs w:val="20"/>
          <w:color w:val="auto"/>
        </w:rPr>
      </w:pPr>
    </w:p>
    <w:p>
      <w:pPr>
        <w:ind w:left="1" w:right="100"/>
        <w:spacing w:after="0" w:line="274" w:lineRule="auto"/>
        <w:rPr>
          <w:sz w:val="20"/>
          <w:szCs w:val="20"/>
          <w:color w:val="auto"/>
        </w:rPr>
      </w:pPr>
      <w:r>
        <w:rPr>
          <w:rFonts w:ascii="Arial" w:cs="Arial" w:eastAsia="Arial" w:hAnsi="Arial"/>
          <w:sz w:val="17"/>
          <w:szCs w:val="17"/>
          <w:color w:val="auto"/>
        </w:rPr>
        <w:t>The Pension Plan is a broad-based plan that covers most AbbVie employees in the United States, age 21 or older, and provides participants with a life annuity benefit at normal retirement equal to A plus the greater of B or C below.</w:t>
      </w:r>
    </w:p>
    <w:p>
      <w:pPr>
        <w:spacing w:after="0" w:line="175" w:lineRule="exact"/>
        <w:rPr>
          <w:sz w:val="20"/>
          <w:szCs w:val="20"/>
          <w:color w:val="auto"/>
        </w:rPr>
      </w:pPr>
    </w:p>
    <w:p>
      <w:pPr>
        <w:ind w:left="321" w:hanging="321"/>
        <w:spacing w:after="0"/>
        <w:tabs>
          <w:tab w:leader="none" w:pos="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1.10% of 5-year final average earnings multiplied by years of benefit service after 2003.</w:t>
      </w:r>
    </w:p>
    <w:p>
      <w:pPr>
        <w:spacing w:after="0" w:line="211" w:lineRule="exact"/>
        <w:rPr>
          <w:rFonts w:ascii="Arial" w:cs="Arial" w:eastAsia="Arial" w:hAnsi="Arial"/>
          <w:sz w:val="18"/>
          <w:szCs w:val="18"/>
          <w:color w:val="auto"/>
        </w:rPr>
      </w:pPr>
    </w:p>
    <w:p>
      <w:pPr>
        <w:jc w:val="both"/>
        <w:ind w:left="321" w:right="20" w:hanging="321"/>
        <w:spacing w:after="0" w:line="238" w:lineRule="auto"/>
        <w:tabs>
          <w:tab w:leader="none" w:pos="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final average earnings (but not more than the social security wage base in any year) or the social security covered compensation level multiplied by years of benefit service.</w:t>
      </w:r>
    </w:p>
    <w:p>
      <w:pPr>
        <w:spacing w:after="0" w:line="202" w:lineRule="exact"/>
        <w:rPr>
          <w:rFonts w:ascii="Arial" w:cs="Arial" w:eastAsia="Arial" w:hAnsi="Arial"/>
          <w:sz w:val="18"/>
          <w:szCs w:val="18"/>
          <w:color w:val="auto"/>
        </w:rPr>
      </w:pPr>
    </w:p>
    <w:p>
      <w:pPr>
        <w:ind w:left="321" w:hanging="321"/>
        <w:spacing w:after="0"/>
        <w:tabs>
          <w:tab w:leader="none" w:pos="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1.10% of 5-year final average earnings multiplied by years of benefit service prior to 2004.</w:t>
      </w:r>
    </w:p>
    <w:p>
      <w:pPr>
        <w:spacing w:after="0" w:line="212" w:lineRule="exact"/>
        <w:rPr>
          <w:sz w:val="20"/>
          <w:szCs w:val="20"/>
          <w:color w:val="auto"/>
        </w:rPr>
      </w:pPr>
    </w:p>
    <w:p>
      <w:pPr>
        <w:ind w:left="1" w:right="80"/>
        <w:spacing w:after="0"/>
        <w:rPr>
          <w:sz w:val="20"/>
          <w:szCs w:val="20"/>
          <w:color w:val="auto"/>
        </w:rPr>
      </w:pPr>
      <w:r>
        <w:rPr>
          <w:rFonts w:ascii="Arial" w:cs="Arial" w:eastAsia="Arial" w:hAnsi="Arial"/>
          <w:sz w:val="18"/>
          <w:szCs w:val="18"/>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203" w:lineRule="exact"/>
        <w:rPr>
          <w:sz w:val="20"/>
          <w:szCs w:val="20"/>
          <w:color w:val="auto"/>
        </w:rPr>
      </w:pPr>
    </w:p>
    <w:p>
      <w:pPr>
        <w:ind w:left="1" w:right="340"/>
        <w:spacing w:after="0" w:line="238" w:lineRule="auto"/>
        <w:rPr>
          <w:sz w:val="20"/>
          <w:szCs w:val="20"/>
          <w:color w:val="auto"/>
        </w:rPr>
      </w:pPr>
      <w:r>
        <w:rPr>
          <w:rFonts w:ascii="Arial" w:cs="Arial" w:eastAsia="Arial" w:hAnsi="Arial"/>
          <w:sz w:val="18"/>
          <w:szCs w:val="18"/>
          <w:color w:val="auto"/>
        </w:rPr>
        <w:t>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205" w:lineRule="exact"/>
        <w:rPr>
          <w:sz w:val="20"/>
          <w:szCs w:val="20"/>
          <w:color w:val="auto"/>
        </w:rPr>
      </w:pPr>
    </w:p>
    <w:p>
      <w:pPr>
        <w:ind w:left="1" w:right="20"/>
        <w:spacing w:after="0" w:line="237" w:lineRule="auto"/>
        <w:rPr>
          <w:sz w:val="20"/>
          <w:szCs w:val="20"/>
          <w:color w:val="auto"/>
        </w:rPr>
      </w:pPr>
      <w:r>
        <w:rPr>
          <w:rFonts w:ascii="Arial" w:cs="Arial" w:eastAsia="Arial" w:hAnsi="Arial"/>
          <w:sz w:val="18"/>
          <w:szCs w:val="18"/>
          <w:color w:val="auto"/>
        </w:rPr>
        <w:t>Participants become fully vested in their pension benefit upon the completion of five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203" w:lineRule="exact"/>
        <w:rPr>
          <w:sz w:val="20"/>
          <w:szCs w:val="20"/>
          <w:color w:val="auto"/>
        </w:rPr>
      </w:pPr>
    </w:p>
    <w:p>
      <w:pPr>
        <w:ind w:left="1" w:right="60"/>
        <w:spacing w:after="0"/>
        <w:rPr>
          <w:sz w:val="20"/>
          <w:szCs w:val="20"/>
          <w:color w:val="auto"/>
        </w:rPr>
      </w:pPr>
      <w:r>
        <w:rPr>
          <w:rFonts w:ascii="Arial" w:cs="Arial" w:eastAsia="Arial" w:hAnsi="Arial"/>
          <w:sz w:val="18"/>
          <w:szCs w:val="18"/>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203" w:lineRule="exact"/>
        <w:rPr>
          <w:sz w:val="20"/>
          <w:szCs w:val="20"/>
          <w:color w:val="auto"/>
        </w:rPr>
      </w:pPr>
    </w:p>
    <w:p>
      <w:pPr>
        <w:ind w:left="1" w:right="80"/>
        <w:spacing w:after="0" w:line="238" w:lineRule="auto"/>
        <w:rPr>
          <w:sz w:val="20"/>
          <w:szCs w:val="20"/>
          <w:color w:val="auto"/>
        </w:rPr>
      </w:pPr>
      <w:r>
        <w:rPr>
          <w:rFonts w:ascii="Arial" w:cs="Arial" w:eastAsia="Arial" w:hAnsi="Arial"/>
          <w:sz w:val="18"/>
          <w:szCs w:val="18"/>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Gonzalez, Mr. Michael, Ms. Schumacher and Mr. Stewart are eligible for early retirement benefits under the plan.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62" w:name="page63"/>
    <w:bookmarkEnd w:id="62"/>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1" w:right="220"/>
        <w:spacing w:after="0" w:line="234" w:lineRule="auto"/>
        <w:rPr>
          <w:sz w:val="20"/>
          <w:szCs w:val="20"/>
          <w:color w:val="auto"/>
        </w:rPr>
      </w:pPr>
      <w:r>
        <w:rPr>
          <w:rFonts w:ascii="Arial" w:cs="Arial" w:eastAsia="Arial" w:hAnsi="Arial"/>
          <w:sz w:val="18"/>
          <w:szCs w:val="18"/>
          <w:color w:val="auto"/>
        </w:rPr>
        <w:t>The subsidized early retirement reductions applied to the benefit payable for service after 2003 (A above) depend upon the participant’s age at retirement. If the participant retires after reaching age 55, the benefit is reduced</w:t>
      </w:r>
    </w:p>
    <w:p>
      <w:pPr>
        <w:ind w:left="1"/>
        <w:spacing w:after="0" w:line="236" w:lineRule="auto"/>
        <w:rPr>
          <w:sz w:val="20"/>
          <w:szCs w:val="20"/>
          <w:color w:val="auto"/>
        </w:rPr>
      </w:pPr>
      <w:r>
        <w:rPr>
          <w:rFonts w:ascii="Arial" w:cs="Arial" w:eastAsia="Arial" w:hAnsi="Arial"/>
          <w:sz w:val="18"/>
          <w:szCs w:val="18"/>
          <w:color w:val="auto"/>
        </w:rPr>
        <w:t>5 percent per year for each year that payments are made before age 62. If the participant retires after reaching age</w:t>
      </w:r>
    </w:p>
    <w:p>
      <w:pPr>
        <w:ind w:left="1"/>
        <w:spacing w:after="0"/>
        <w:rPr>
          <w:sz w:val="20"/>
          <w:szCs w:val="20"/>
          <w:color w:val="auto"/>
        </w:rPr>
      </w:pPr>
      <w:r>
        <w:rPr>
          <w:rFonts w:ascii="Arial" w:cs="Arial" w:eastAsia="Arial" w:hAnsi="Arial"/>
          <w:sz w:val="18"/>
          <w:szCs w:val="18"/>
          <w:color w:val="auto"/>
        </w:rPr>
        <w:t>50 but prior to reaching age 55, the benefit is actuarially reduced from age 65.</w:t>
      </w:r>
    </w:p>
    <w:p>
      <w:pPr>
        <w:spacing w:after="0" w:line="212" w:lineRule="exact"/>
        <w:rPr>
          <w:sz w:val="20"/>
          <w:szCs w:val="20"/>
          <w:color w:val="auto"/>
        </w:rPr>
      </w:pPr>
    </w:p>
    <w:p>
      <w:pPr>
        <w:ind w:left="1" w:right="400"/>
        <w:spacing w:after="0" w:line="246" w:lineRule="auto"/>
        <w:rPr>
          <w:sz w:val="20"/>
          <w:szCs w:val="20"/>
          <w:color w:val="auto"/>
        </w:rPr>
      </w:pPr>
      <w:r>
        <w:rPr>
          <w:rFonts w:ascii="Arial" w:cs="Arial" w:eastAsia="Arial" w:hAnsi="Arial"/>
          <w:sz w:val="18"/>
          <w:szCs w:val="18"/>
          <w:color w:val="auto"/>
        </w:rPr>
        <w:t>The early retirement reductions applied to the benefit payable for service prior to 2004 (B and C above) depend upon age and service at retirement:</w:t>
      </w:r>
    </w:p>
    <w:p>
      <w:pPr>
        <w:spacing w:after="0" w:line="197" w:lineRule="exact"/>
        <w:rPr>
          <w:sz w:val="20"/>
          <w:szCs w:val="20"/>
          <w:color w:val="auto"/>
        </w:rPr>
      </w:pPr>
    </w:p>
    <w:p>
      <w:pPr>
        <w:ind w:left="321" w:right="380" w:hanging="321"/>
        <w:spacing w:after="0" w:line="234" w:lineRule="auto"/>
        <w:tabs>
          <w:tab w:leader="none" w:pos="321" w:val="left"/>
        </w:tabs>
        <w:numPr>
          <w:ilvl w:val="0"/>
          <w:numId w:val="71"/>
        </w:numPr>
        <w:rPr>
          <w:rFonts w:ascii="Arial" w:cs="Arial" w:eastAsia="Arial" w:hAnsi="Arial"/>
          <w:sz w:val="18"/>
          <w:szCs w:val="18"/>
          <w:color w:val="071D49"/>
        </w:rPr>
      </w:pPr>
      <w:r>
        <w:rPr>
          <w:rFonts w:ascii="Arial" w:cs="Arial" w:eastAsia="Arial" w:hAnsi="Arial"/>
          <w:sz w:val="18"/>
          <w:szCs w:val="18"/>
          <w:color w:val="auto"/>
        </w:rPr>
        <w:t>In general, the 5-year final average earnings portions of the benefit are reduced 3 percent per year for each year that payments are made before age 62 and the 3-year final average earnings portion of the benefit is reduced 5 percent per year for each year that payments are made before age 62.</w:t>
      </w:r>
    </w:p>
    <w:p>
      <w:pPr>
        <w:spacing w:after="0" w:line="2" w:lineRule="exact"/>
        <w:rPr>
          <w:rFonts w:ascii="Arial" w:cs="Arial" w:eastAsia="Arial" w:hAnsi="Arial"/>
          <w:sz w:val="18"/>
          <w:szCs w:val="18"/>
          <w:color w:val="071D49"/>
        </w:rPr>
      </w:pPr>
    </w:p>
    <w:p>
      <w:pPr>
        <w:ind w:left="321" w:right="40" w:hanging="321"/>
        <w:spacing w:after="0" w:line="229" w:lineRule="auto"/>
        <w:tabs>
          <w:tab w:leader="none" w:pos="321" w:val="left"/>
        </w:tabs>
        <w:numPr>
          <w:ilvl w:val="0"/>
          <w:numId w:val="71"/>
        </w:numPr>
        <w:rPr>
          <w:rFonts w:ascii="Arial" w:cs="Arial" w:eastAsia="Arial" w:hAnsi="Arial"/>
          <w:sz w:val="18"/>
          <w:szCs w:val="18"/>
          <w:color w:val="071D49"/>
        </w:rPr>
      </w:pPr>
      <w:r>
        <w:rPr>
          <w:rFonts w:ascii="Arial" w:cs="Arial" w:eastAsia="Arial" w:hAnsi="Arial"/>
          <w:sz w:val="18"/>
          <w:szCs w:val="18"/>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xml:space="preserve"> percent for each year between ages 59 and 62 plus 2</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26"/>
          <w:szCs w:val="26"/>
          <w:color w:val="auto"/>
          <w:vertAlign w:val="subscript"/>
        </w:rPr>
        <w:t>2</w:t>
      </w:r>
      <w:r>
        <w:rPr>
          <w:rFonts w:ascii="Arial" w:cs="Arial" w:eastAsia="Arial" w:hAnsi="Arial"/>
          <w:sz w:val="18"/>
          <w:szCs w:val="18"/>
          <w:color w:val="auto"/>
        </w:rPr>
        <w:t xml:space="preserve"> percent for each year between ages 55 and 59. The 3-year final average earnings portion of the benefit is reduced 5 percent per year for each year that payments are made before age 62. Benefit C is payable on an unreduced basis at Special Retirement and is reduced 3 percent per year for each year that payments are made before age 62, if Early Special Retirement applies.</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SUPPLEMENTAL PENSION PLAN</w:t>
      </w:r>
    </w:p>
    <w:p>
      <w:pPr>
        <w:spacing w:after="0" w:line="193" w:lineRule="exact"/>
        <w:rPr>
          <w:sz w:val="20"/>
          <w:szCs w:val="20"/>
          <w:color w:val="auto"/>
        </w:rPr>
      </w:pPr>
    </w:p>
    <w:p>
      <w:pPr>
        <w:ind w:left="1" w:right="200"/>
        <w:spacing w:after="0"/>
        <w:rPr>
          <w:sz w:val="20"/>
          <w:szCs w:val="20"/>
          <w:color w:val="auto"/>
        </w:rPr>
      </w:pPr>
      <w:r>
        <w:rPr>
          <w:rFonts w:ascii="Arial" w:cs="Arial" w:eastAsia="Arial" w:hAnsi="Arial"/>
          <w:sz w:val="18"/>
          <w:szCs w:val="18"/>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203" w:lineRule="exact"/>
        <w:rPr>
          <w:sz w:val="20"/>
          <w:szCs w:val="20"/>
          <w:color w:val="auto"/>
        </w:rPr>
      </w:pPr>
    </w:p>
    <w:p>
      <w:pPr>
        <w:ind w:left="321" w:right="500" w:hanging="321"/>
        <w:spacing w:after="0" w:line="234" w:lineRule="auto"/>
        <w:tabs>
          <w:tab w:leader="none" w:pos="321" w:val="left"/>
        </w:tabs>
        <w:numPr>
          <w:ilvl w:val="0"/>
          <w:numId w:val="72"/>
        </w:numPr>
        <w:rPr>
          <w:rFonts w:ascii="Arial" w:cs="Arial" w:eastAsia="Arial" w:hAnsi="Arial"/>
          <w:sz w:val="18"/>
          <w:szCs w:val="18"/>
          <w:color w:val="071D49"/>
        </w:rPr>
      </w:pPr>
      <w:r>
        <w:rPr>
          <w:rFonts w:ascii="Arial" w:cs="Arial" w:eastAsia="Arial" w:hAnsi="Arial"/>
          <w:sz w:val="18"/>
          <w:szCs w:val="18"/>
          <w:color w:val="auto"/>
        </w:rPr>
        <w:t>Participants’ 5-year final average earnings are calculated using the average of the 5 highest years of base earnings and the 5 highest years of payments under AbbVie’s non-equity incentive plans.</w:t>
      </w:r>
    </w:p>
    <w:p>
      <w:pPr>
        <w:spacing w:after="0" w:line="1" w:lineRule="exact"/>
        <w:rPr>
          <w:rFonts w:ascii="Arial" w:cs="Arial" w:eastAsia="Arial" w:hAnsi="Arial"/>
          <w:sz w:val="18"/>
          <w:szCs w:val="18"/>
          <w:color w:val="071D49"/>
        </w:rPr>
      </w:pPr>
    </w:p>
    <w:p>
      <w:pPr>
        <w:ind w:left="321" w:right="140" w:hanging="321"/>
        <w:spacing w:after="0" w:line="234" w:lineRule="auto"/>
        <w:tabs>
          <w:tab w:leader="none" w:pos="321" w:val="left"/>
        </w:tabs>
        <w:numPr>
          <w:ilvl w:val="0"/>
          <w:numId w:val="72"/>
        </w:numPr>
        <w:rPr>
          <w:rFonts w:ascii="Arial" w:cs="Arial" w:eastAsia="Arial" w:hAnsi="Arial"/>
          <w:sz w:val="18"/>
          <w:szCs w:val="18"/>
          <w:color w:val="071D49"/>
        </w:rPr>
      </w:pPr>
      <w:r>
        <w:rPr>
          <w:rFonts w:ascii="Arial" w:cs="Arial" w:eastAsia="Arial" w:hAnsi="Arial"/>
          <w:sz w:val="18"/>
          <w:szCs w:val="18"/>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2" w:lineRule="exact"/>
        <w:rPr>
          <w:rFonts w:ascii="Arial" w:cs="Arial" w:eastAsia="Arial" w:hAnsi="Arial"/>
          <w:sz w:val="18"/>
          <w:szCs w:val="18"/>
          <w:color w:val="071D49"/>
        </w:rPr>
      </w:pPr>
    </w:p>
    <w:p>
      <w:pPr>
        <w:ind w:left="321" w:hanging="321"/>
        <w:spacing w:after="0" w:line="234" w:lineRule="auto"/>
        <w:tabs>
          <w:tab w:leader="none" w:pos="321" w:val="left"/>
        </w:tabs>
        <w:numPr>
          <w:ilvl w:val="0"/>
          <w:numId w:val="72"/>
        </w:numPr>
        <w:rPr>
          <w:rFonts w:ascii="Arial" w:cs="Arial" w:eastAsia="Arial" w:hAnsi="Arial"/>
          <w:sz w:val="18"/>
          <w:szCs w:val="18"/>
          <w:color w:val="071D49"/>
        </w:rPr>
      </w:pPr>
      <w:r>
        <w:rPr>
          <w:rFonts w:ascii="Arial" w:cs="Arial" w:eastAsia="Arial" w:hAnsi="Arial"/>
          <w:sz w:val="18"/>
          <w:szCs w:val="18"/>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 for each year that payments are made before age 60. The portion attributable to service after 2003 is reduced</w:t>
      </w:r>
    </w:p>
    <w:p>
      <w:pPr>
        <w:spacing w:after="0" w:line="4" w:lineRule="exact"/>
        <w:rPr>
          <w:rFonts w:ascii="Arial" w:cs="Arial" w:eastAsia="Arial" w:hAnsi="Arial"/>
          <w:sz w:val="18"/>
          <w:szCs w:val="18"/>
          <w:color w:val="071D49"/>
        </w:rPr>
      </w:pPr>
    </w:p>
    <w:p>
      <w:pPr>
        <w:ind w:left="321" w:right="180"/>
        <w:spacing w:after="0" w:line="234" w:lineRule="auto"/>
        <w:rPr>
          <w:rFonts w:ascii="Arial" w:cs="Arial" w:eastAsia="Arial" w:hAnsi="Arial"/>
          <w:sz w:val="18"/>
          <w:szCs w:val="18"/>
          <w:color w:val="071D49"/>
        </w:rPr>
      </w:pPr>
      <w:r>
        <w:rPr>
          <w:rFonts w:ascii="Arial" w:cs="Arial" w:eastAsia="Arial" w:hAnsi="Arial"/>
          <w:sz w:val="18"/>
          <w:szCs w:val="18"/>
          <w:color w:val="auto"/>
        </w:rPr>
        <w:t>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2" w:lineRule="exact"/>
        <w:rPr>
          <w:rFonts w:ascii="Arial" w:cs="Arial" w:eastAsia="Arial" w:hAnsi="Arial"/>
          <w:sz w:val="18"/>
          <w:szCs w:val="18"/>
          <w:color w:val="071D49"/>
        </w:rPr>
      </w:pPr>
    </w:p>
    <w:p>
      <w:pPr>
        <w:ind w:left="321" w:right="120" w:hanging="321"/>
        <w:spacing w:after="0" w:line="234" w:lineRule="auto"/>
        <w:tabs>
          <w:tab w:leader="none" w:pos="321" w:val="left"/>
        </w:tabs>
        <w:numPr>
          <w:ilvl w:val="0"/>
          <w:numId w:val="72"/>
        </w:numPr>
        <w:rPr>
          <w:rFonts w:ascii="Arial" w:cs="Arial" w:eastAsia="Arial" w:hAnsi="Arial"/>
          <w:sz w:val="18"/>
          <w:szCs w:val="18"/>
          <w:color w:val="071D49"/>
        </w:rPr>
      </w:pPr>
      <w:r>
        <w:rPr>
          <w:rFonts w:ascii="Arial" w:cs="Arial" w:eastAsia="Arial" w:hAnsi="Arial"/>
          <w:sz w:val="18"/>
          <w:szCs w:val="18"/>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Gonzalez, Mr. Michael, Ms. Schumacher and Mr. Stewart are eligible for early retirement benefits under the plan.</w:t>
      </w:r>
    </w:p>
    <w:p>
      <w:pPr>
        <w:spacing w:after="0" w:line="2" w:lineRule="exact"/>
        <w:rPr>
          <w:rFonts w:ascii="Arial" w:cs="Arial" w:eastAsia="Arial" w:hAnsi="Arial"/>
          <w:sz w:val="18"/>
          <w:szCs w:val="18"/>
          <w:color w:val="071D49"/>
        </w:rPr>
      </w:pPr>
    </w:p>
    <w:p>
      <w:pPr>
        <w:ind w:left="321" w:hanging="321"/>
        <w:spacing w:after="0" w:line="237" w:lineRule="auto"/>
        <w:tabs>
          <w:tab w:leader="none" w:pos="321" w:val="left"/>
        </w:tabs>
        <w:numPr>
          <w:ilvl w:val="0"/>
          <w:numId w:val="72"/>
        </w:numPr>
        <w:rPr>
          <w:rFonts w:ascii="Arial" w:cs="Arial" w:eastAsia="Arial" w:hAnsi="Arial"/>
          <w:sz w:val="18"/>
          <w:szCs w:val="18"/>
          <w:color w:val="071D49"/>
        </w:rPr>
      </w:pPr>
      <w:r>
        <w:rPr>
          <w:rFonts w:ascii="Arial" w:cs="Arial" w:eastAsia="Arial" w:hAnsi="Arial"/>
          <w:sz w:val="18"/>
          <w:szCs w:val="18"/>
          <w:color w:val="auto"/>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his or her vested plan benefits funded through a grantor trust. An eligible NEO who became an officer after 2008 may have only the vested benefits that accrue following the calendar year in which he or she is first elected as an officer funded through a grantor trust.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874395" cy="1625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63" w:name="page64"/>
    <w:bookmarkEnd w:id="63"/>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1" w:right="20"/>
        <w:spacing w:after="0" w:line="238" w:lineRule="auto"/>
        <w:rPr>
          <w:sz w:val="20"/>
          <w:szCs w:val="20"/>
          <w:color w:val="auto"/>
        </w:rPr>
      </w:pPr>
      <w:r>
        <w:rPr>
          <w:rFonts w:ascii="Arial" w:cs="Arial" w:eastAsia="Arial" w:hAnsi="Arial"/>
          <w:sz w:val="18"/>
          <w:szCs w:val="18"/>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his or her trust are insufficient.</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PENSION BENEFITS TABLE</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454968"/>
              </w:rPr>
              <w:t>Present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454968"/>
              </w:rPr>
              <w:t>Number of</w:t>
            </w:r>
          </w:p>
        </w:tc>
        <w:tc>
          <w:tcPr>
            <w:tcW w:w="30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454968"/>
              </w:rPr>
              <w:t>Value of</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4968"/>
              </w:rPr>
              <w:t>Payments</w:t>
            </w:r>
          </w:p>
        </w:tc>
        <w:tc>
          <w:tcPr>
            <w:tcW w:w="2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454968"/>
              </w:rPr>
              <w:t>Years</w:t>
            </w:r>
          </w:p>
        </w:tc>
        <w:tc>
          <w:tcPr>
            <w:tcW w:w="30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454968"/>
              </w:rPr>
              <w:t>Accumulated</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4968"/>
              </w:rPr>
              <w:t>During Last</w:t>
            </w:r>
          </w:p>
        </w:tc>
        <w:tc>
          <w:tcPr>
            <w:tcW w:w="24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454968"/>
              </w:rPr>
              <w:t>Credited</w:t>
            </w:r>
          </w:p>
        </w:tc>
        <w:tc>
          <w:tcPr>
            <w:tcW w:w="30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454968"/>
              </w:rPr>
              <w:t>Benefit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4968"/>
              </w:rPr>
              <w:t>Fiscal Year</w:t>
            </w:r>
          </w:p>
        </w:tc>
        <w:tc>
          <w:tcPr>
            <w:tcW w:w="240" w:type="dxa"/>
            <w:vAlign w:val="bottom"/>
          </w:tcPr>
          <w:p>
            <w:pPr>
              <w:spacing w:after="0"/>
              <w:rPr>
                <w:sz w:val="14"/>
                <w:szCs w:val="14"/>
                <w:color w:val="auto"/>
              </w:rPr>
            </w:pPr>
          </w:p>
        </w:tc>
      </w:tr>
      <w:tr>
        <w:trPr>
          <w:trHeight w:val="175"/>
        </w:trPr>
        <w:tc>
          <w:tcPr>
            <w:tcW w:w="2180" w:type="dxa"/>
            <w:vAlign w:val="bottom"/>
            <w:tcBorders>
              <w:bottom w:val="single" w:sz="8" w:color="071D49"/>
            </w:tcBorders>
          </w:tcPr>
          <w:p>
            <w:pPr>
              <w:spacing w:after="0"/>
              <w:rPr>
                <w:sz w:val="20"/>
                <w:szCs w:val="20"/>
                <w:color w:val="auto"/>
              </w:rPr>
            </w:pPr>
            <w:r>
              <w:rPr>
                <w:rFonts w:ascii="Arial" w:cs="Arial" w:eastAsia="Arial" w:hAnsi="Arial"/>
                <w:sz w:val="14"/>
                <w:szCs w:val="14"/>
                <w:b w:val="1"/>
                <w:bCs w:val="1"/>
                <w:color w:val="454968"/>
              </w:rPr>
              <w:t>Name</w:t>
            </w:r>
          </w:p>
        </w:tc>
        <w:tc>
          <w:tcPr>
            <w:tcW w:w="140" w:type="dxa"/>
            <w:vAlign w:val="bottom"/>
            <w:tcBorders>
              <w:bottom w:val="single" w:sz="8" w:color="071D49"/>
            </w:tcBorders>
          </w:tcPr>
          <w:p>
            <w:pPr>
              <w:spacing w:after="0"/>
              <w:rPr>
                <w:sz w:val="15"/>
                <w:szCs w:val="15"/>
                <w:color w:val="auto"/>
              </w:rPr>
            </w:pPr>
          </w:p>
        </w:tc>
        <w:tc>
          <w:tcPr>
            <w:tcW w:w="2960" w:type="dxa"/>
            <w:vAlign w:val="bottom"/>
            <w:tcBorders>
              <w:bottom w:val="single" w:sz="8" w:color="071D49"/>
            </w:tcBorders>
            <w:gridSpan w:val="2"/>
          </w:tcPr>
          <w:p>
            <w:pPr>
              <w:ind w:left="60"/>
              <w:spacing w:after="0"/>
              <w:rPr>
                <w:sz w:val="20"/>
                <w:szCs w:val="20"/>
                <w:color w:val="auto"/>
              </w:rPr>
            </w:pPr>
            <w:r>
              <w:rPr>
                <w:rFonts w:ascii="Arial" w:cs="Arial" w:eastAsia="Arial" w:hAnsi="Arial"/>
                <w:sz w:val="14"/>
                <w:szCs w:val="14"/>
                <w:b w:val="1"/>
                <w:bCs w:val="1"/>
                <w:color w:val="454968"/>
              </w:rPr>
              <w:t>Plan Name</w:t>
            </w:r>
          </w:p>
        </w:tc>
        <w:tc>
          <w:tcPr>
            <w:tcW w:w="1080" w:type="dxa"/>
            <w:vAlign w:val="bottom"/>
            <w:tcBorders>
              <w:bottom w:val="single" w:sz="8" w:color="071D49"/>
            </w:tcBorders>
          </w:tcPr>
          <w:p>
            <w:pPr>
              <w:jc w:val="right"/>
              <w:ind w:right="55"/>
              <w:spacing w:after="0"/>
              <w:rPr>
                <w:sz w:val="20"/>
                <w:szCs w:val="20"/>
                <w:color w:val="auto"/>
              </w:rPr>
            </w:pPr>
            <w:r>
              <w:rPr>
                <w:rFonts w:ascii="Arial" w:cs="Arial" w:eastAsia="Arial" w:hAnsi="Arial"/>
                <w:sz w:val="14"/>
                <w:szCs w:val="14"/>
                <w:b w:val="1"/>
                <w:bCs w:val="1"/>
                <w:color w:val="454968"/>
              </w:rPr>
              <w:t>Service (#)</w:t>
            </w:r>
          </w:p>
        </w:tc>
        <w:tc>
          <w:tcPr>
            <w:tcW w:w="300" w:type="dxa"/>
            <w:vAlign w:val="bottom"/>
            <w:tcBorders>
              <w:bottom w:val="single" w:sz="8" w:color="071D49"/>
            </w:tcBorders>
          </w:tcPr>
          <w:p>
            <w:pPr>
              <w:spacing w:after="0"/>
              <w:rPr>
                <w:sz w:val="15"/>
                <w:szCs w:val="15"/>
                <w:color w:val="auto"/>
              </w:rPr>
            </w:pPr>
          </w:p>
        </w:tc>
        <w:tc>
          <w:tcPr>
            <w:tcW w:w="1160" w:type="dxa"/>
            <w:vAlign w:val="bottom"/>
            <w:tcBorders>
              <w:bottom w:val="single" w:sz="8" w:color="071D49"/>
            </w:tcBorders>
          </w:tcPr>
          <w:p>
            <w:pPr>
              <w:jc w:val="right"/>
              <w:ind w:right="36"/>
              <w:spacing w:after="0"/>
              <w:rPr>
                <w:sz w:val="20"/>
                <w:szCs w:val="20"/>
                <w:color w:val="auto"/>
              </w:rPr>
            </w:pPr>
            <w:r>
              <w:rPr>
                <w:rFonts w:ascii="Arial" w:cs="Arial" w:eastAsia="Arial" w:hAnsi="Arial"/>
                <w:sz w:val="14"/>
                <w:szCs w:val="14"/>
                <w:b w:val="1"/>
                <w:bCs w:val="1"/>
                <w:color w:val="454968"/>
              </w:rPr>
              <w:t>($)(1)</w:t>
            </w:r>
          </w:p>
        </w:tc>
        <w:tc>
          <w:tcPr>
            <w:tcW w:w="280" w:type="dxa"/>
            <w:vAlign w:val="bottom"/>
            <w:tcBorders>
              <w:bottom w:val="single" w:sz="8" w:color="071D49"/>
            </w:tcBorders>
          </w:tcPr>
          <w:p>
            <w:pPr>
              <w:spacing w:after="0"/>
              <w:rPr>
                <w:sz w:val="15"/>
                <w:szCs w:val="15"/>
                <w:color w:val="auto"/>
              </w:rPr>
            </w:pPr>
          </w:p>
        </w:tc>
        <w:tc>
          <w:tcPr>
            <w:tcW w:w="920" w:type="dxa"/>
            <w:vAlign w:val="bottom"/>
            <w:tcBorders>
              <w:bottom w:val="single" w:sz="8" w:color="071D49"/>
            </w:tcBorders>
          </w:tcPr>
          <w:p>
            <w:pPr>
              <w:jc w:val="right"/>
              <w:spacing w:after="0"/>
              <w:rPr>
                <w:sz w:val="20"/>
                <w:szCs w:val="20"/>
                <w:color w:val="auto"/>
              </w:rPr>
            </w:pPr>
            <w:r>
              <w:rPr>
                <w:rFonts w:ascii="Arial" w:cs="Arial" w:eastAsia="Arial" w:hAnsi="Arial"/>
                <w:sz w:val="14"/>
                <w:szCs w:val="14"/>
                <w:b w:val="1"/>
                <w:bCs w:val="1"/>
                <w:color w:val="454968"/>
              </w:rPr>
              <w:t>($)</w:t>
            </w:r>
          </w:p>
        </w:tc>
        <w:tc>
          <w:tcPr>
            <w:tcW w:w="240" w:type="dxa"/>
            <w:vAlign w:val="bottom"/>
            <w:tcBorders>
              <w:bottom w:val="single" w:sz="8" w:color="071D49"/>
            </w:tcBorders>
          </w:tcPr>
          <w:p>
            <w:pPr>
              <w:spacing w:after="0"/>
              <w:rPr>
                <w:sz w:val="15"/>
                <w:szCs w:val="15"/>
                <w:color w:val="auto"/>
              </w:rPr>
            </w:pPr>
          </w:p>
        </w:tc>
      </w:tr>
      <w:tr>
        <w:trPr>
          <w:trHeight w:val="195"/>
        </w:trPr>
        <w:tc>
          <w:tcPr>
            <w:tcW w:w="2180" w:type="dxa"/>
            <w:vAlign w:val="bottom"/>
            <w:shd w:val="clear" w:color="auto" w:fill="D9D9D9"/>
          </w:tcPr>
          <w:p>
            <w:pPr>
              <w:spacing w:after="0" w:line="195" w:lineRule="exact"/>
              <w:rPr>
                <w:sz w:val="20"/>
                <w:szCs w:val="20"/>
                <w:color w:val="auto"/>
              </w:rPr>
            </w:pPr>
            <w:r>
              <w:rPr>
                <w:rFonts w:ascii="Arial" w:cs="Arial" w:eastAsia="Arial" w:hAnsi="Arial"/>
                <w:sz w:val="18"/>
                <w:szCs w:val="18"/>
                <w:color w:val="auto"/>
              </w:rPr>
              <w:t>R. Gonzalez</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00" w:type="dxa"/>
            <w:vAlign w:val="bottom"/>
            <w:shd w:val="clear" w:color="auto" w:fill="D9D9D9"/>
          </w:tcPr>
          <w:p>
            <w:pPr>
              <w:spacing w:after="0" w:line="195" w:lineRule="exact"/>
              <w:rPr>
                <w:sz w:val="20"/>
                <w:szCs w:val="20"/>
                <w:color w:val="auto"/>
              </w:rPr>
            </w:pPr>
            <w:r>
              <w:rPr>
                <w:rFonts w:ascii="Arial" w:cs="Arial" w:eastAsia="Arial" w:hAnsi="Arial"/>
                <w:sz w:val="18"/>
                <w:szCs w:val="18"/>
                <w:color w:val="auto"/>
              </w:rPr>
              <w:t>AbbVie Pension Plan</w:t>
            </w:r>
          </w:p>
        </w:tc>
        <w:tc>
          <w:tcPr>
            <w:tcW w:w="1080" w:type="dxa"/>
            <w:vAlign w:val="bottom"/>
            <w:shd w:val="clear" w:color="auto" w:fill="D9D9D9"/>
          </w:tcPr>
          <w:p>
            <w:pPr>
              <w:jc w:val="right"/>
              <w:ind w:right="55"/>
              <w:spacing w:after="0" w:line="195" w:lineRule="exact"/>
              <w:rPr>
                <w:sz w:val="20"/>
                <w:szCs w:val="20"/>
                <w:color w:val="auto"/>
              </w:rPr>
            </w:pPr>
            <w:r>
              <w:rPr>
                <w:rFonts w:ascii="Arial" w:cs="Arial" w:eastAsia="Arial" w:hAnsi="Arial"/>
                <w:sz w:val="18"/>
                <w:szCs w:val="18"/>
                <w:color w:val="auto"/>
              </w:rPr>
              <w:t>35</w:t>
            </w:r>
          </w:p>
        </w:tc>
        <w:tc>
          <w:tcPr>
            <w:tcW w:w="300" w:type="dxa"/>
            <w:vAlign w:val="bottom"/>
            <w:shd w:val="clear" w:color="auto" w:fill="D9D9D9"/>
          </w:tcPr>
          <w:p>
            <w:pPr>
              <w:jc w:val="right"/>
              <w:spacing w:after="0" w:line="195"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76"/>
              <w:spacing w:after="0" w:line="195" w:lineRule="exact"/>
              <w:rPr>
                <w:sz w:val="20"/>
                <w:szCs w:val="20"/>
                <w:color w:val="auto"/>
              </w:rPr>
            </w:pPr>
            <w:r>
              <w:rPr>
                <w:rFonts w:ascii="Arial" w:cs="Arial" w:eastAsia="Arial" w:hAnsi="Arial"/>
                <w:sz w:val="18"/>
                <w:szCs w:val="18"/>
                <w:color w:val="auto"/>
              </w:rPr>
              <w:t>271,433</w:t>
            </w:r>
          </w:p>
        </w:tc>
        <w:tc>
          <w:tcPr>
            <w:tcW w:w="280" w:type="dxa"/>
            <w:vAlign w:val="bottom"/>
            <w:shd w:val="clear" w:color="auto" w:fill="D9D9D9"/>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shd w:val="clear" w:color="auto" w:fill="D9D9D9"/>
          </w:tcPr>
          <w:p>
            <w:pPr>
              <w:jc w:val="right"/>
              <w:spacing w:after="0" w:line="195" w:lineRule="exact"/>
              <w:rPr>
                <w:sz w:val="20"/>
                <w:szCs w:val="20"/>
                <w:color w:val="auto"/>
              </w:rPr>
            </w:pPr>
            <w:r>
              <w:rPr>
                <w:rFonts w:ascii="Arial" w:cs="Arial" w:eastAsia="Arial" w:hAnsi="Arial"/>
                <w:sz w:val="18"/>
                <w:szCs w:val="18"/>
                <w:color w:val="auto"/>
              </w:rPr>
              <w:t>0</w:t>
            </w:r>
          </w:p>
        </w:tc>
        <w:tc>
          <w:tcPr>
            <w:tcW w:w="240" w:type="dxa"/>
            <w:vAlign w:val="bottom"/>
            <w:shd w:val="clear" w:color="auto" w:fill="D9D9D9"/>
          </w:tcPr>
          <w:p>
            <w:pPr>
              <w:spacing w:after="0"/>
              <w:rPr>
                <w:sz w:val="16"/>
                <w:szCs w:val="16"/>
                <w:color w:val="auto"/>
              </w:rPr>
            </w:pPr>
          </w:p>
        </w:tc>
      </w:tr>
      <w:tr>
        <w:trPr>
          <w:trHeight w:val="203"/>
        </w:trPr>
        <w:tc>
          <w:tcPr>
            <w:tcW w:w="2180" w:type="dxa"/>
            <w:vAlign w:val="bottom"/>
            <w:shd w:val="clear" w:color="auto" w:fill="D9D9D9"/>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shd w:val="clear" w:color="auto" w:fill="D9D9D9"/>
          </w:tcPr>
          <w:p>
            <w:pPr>
              <w:spacing w:after="0" w:line="203" w:lineRule="exact"/>
              <w:rPr>
                <w:sz w:val="20"/>
                <w:szCs w:val="20"/>
                <w:color w:val="auto"/>
              </w:rPr>
            </w:pPr>
            <w:r>
              <w:rPr>
                <w:rFonts w:ascii="Arial" w:cs="Arial" w:eastAsia="Arial" w:hAnsi="Arial"/>
                <w:sz w:val="18"/>
                <w:szCs w:val="18"/>
                <w:color w:val="auto"/>
              </w:rPr>
              <w:t>AbbVie Supplemental Pension Plan</w:t>
            </w:r>
          </w:p>
        </w:tc>
        <w:tc>
          <w:tcPr>
            <w:tcW w:w="1080" w:type="dxa"/>
            <w:vAlign w:val="bottom"/>
            <w:shd w:val="clear" w:color="auto" w:fill="D9D9D9"/>
          </w:tcPr>
          <w:p>
            <w:pPr>
              <w:jc w:val="right"/>
              <w:ind w:right="55"/>
              <w:spacing w:after="0" w:line="203" w:lineRule="exact"/>
              <w:rPr>
                <w:sz w:val="20"/>
                <w:szCs w:val="20"/>
                <w:color w:val="auto"/>
              </w:rPr>
            </w:pPr>
            <w:r>
              <w:rPr>
                <w:rFonts w:ascii="Arial" w:cs="Arial" w:eastAsia="Arial" w:hAnsi="Arial"/>
                <w:sz w:val="18"/>
                <w:szCs w:val="18"/>
                <w:color w:val="auto"/>
              </w:rPr>
              <w:t>35</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76"/>
              <w:spacing w:after="0" w:line="203" w:lineRule="exact"/>
              <w:rPr>
                <w:sz w:val="20"/>
                <w:szCs w:val="20"/>
                <w:color w:val="auto"/>
              </w:rPr>
            </w:pPr>
            <w:r>
              <w:rPr>
                <w:rFonts w:ascii="Arial" w:cs="Arial" w:eastAsia="Arial" w:hAnsi="Arial"/>
                <w:sz w:val="18"/>
                <w:szCs w:val="18"/>
                <w:color w:val="auto"/>
              </w:rPr>
              <w:t>19,736,973</w:t>
            </w:r>
          </w:p>
        </w:tc>
        <w:tc>
          <w:tcPr>
            <w:tcW w:w="280" w:type="dxa"/>
            <w:vAlign w:val="bottom"/>
            <w:shd w:val="clear" w:color="auto" w:fill="D9D9D9"/>
          </w:tcPr>
          <w:p>
            <w:pPr>
              <w:spacing w:after="0"/>
              <w:rPr>
                <w:sz w:val="17"/>
                <w:szCs w:val="17"/>
                <w:color w:val="auto"/>
              </w:rPr>
            </w:pPr>
          </w:p>
        </w:tc>
        <w:tc>
          <w:tcPr>
            <w:tcW w:w="92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1,180,132</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R. Michael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AbbVie Pension Plan</w:t>
            </w:r>
          </w:p>
        </w:tc>
        <w:tc>
          <w:tcPr>
            <w:tcW w:w="1080" w:type="dxa"/>
            <w:vAlign w:val="bottom"/>
          </w:tcPr>
          <w:p>
            <w:pPr>
              <w:jc w:val="right"/>
              <w:ind w:right="55"/>
              <w:spacing w:after="0" w:line="201"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17"/>
                <w:szCs w:val="17"/>
                <w:color w:val="auto"/>
              </w:rPr>
            </w:pPr>
          </w:p>
        </w:tc>
        <w:tc>
          <w:tcPr>
            <w:tcW w:w="1160" w:type="dxa"/>
            <w:vAlign w:val="bottom"/>
          </w:tcPr>
          <w:p>
            <w:pPr>
              <w:jc w:val="right"/>
              <w:ind w:right="76"/>
              <w:spacing w:after="0" w:line="201" w:lineRule="exact"/>
              <w:rPr>
                <w:sz w:val="20"/>
                <w:szCs w:val="20"/>
                <w:color w:val="auto"/>
              </w:rPr>
            </w:pPr>
            <w:r>
              <w:rPr>
                <w:rFonts w:ascii="Arial" w:cs="Arial" w:eastAsia="Arial" w:hAnsi="Arial"/>
                <w:sz w:val="18"/>
                <w:szCs w:val="18"/>
                <w:color w:val="auto"/>
              </w:rPr>
              <w:t>984,478</w:t>
            </w:r>
          </w:p>
        </w:tc>
        <w:tc>
          <w:tcPr>
            <w:tcW w:w="2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AbbVie Supplemental Pension Plan</w:t>
            </w:r>
          </w:p>
        </w:tc>
        <w:tc>
          <w:tcPr>
            <w:tcW w:w="1080" w:type="dxa"/>
            <w:vAlign w:val="bottom"/>
          </w:tcPr>
          <w:p>
            <w:pPr>
              <w:jc w:val="right"/>
              <w:ind w:right="55"/>
              <w:spacing w:after="0" w:line="203" w:lineRule="exact"/>
              <w:rPr>
                <w:sz w:val="20"/>
                <w:szCs w:val="20"/>
                <w:color w:val="auto"/>
              </w:rPr>
            </w:pPr>
            <w:r>
              <w:rPr>
                <w:rFonts w:ascii="Arial" w:cs="Arial" w:eastAsia="Arial" w:hAnsi="Arial"/>
                <w:sz w:val="18"/>
                <w:szCs w:val="18"/>
                <w:color w:val="auto"/>
              </w:rPr>
              <w:t>29</w:t>
            </w:r>
          </w:p>
        </w:tc>
        <w:tc>
          <w:tcPr>
            <w:tcW w:w="300" w:type="dxa"/>
            <w:vAlign w:val="bottom"/>
          </w:tcPr>
          <w:p>
            <w:pPr>
              <w:spacing w:after="0"/>
              <w:rPr>
                <w:sz w:val="17"/>
                <w:szCs w:val="17"/>
                <w:color w:val="auto"/>
              </w:rPr>
            </w:pPr>
          </w:p>
        </w:tc>
        <w:tc>
          <w:tcPr>
            <w:tcW w:w="1160" w:type="dxa"/>
            <w:vAlign w:val="bottom"/>
          </w:tcPr>
          <w:p>
            <w:pPr>
              <w:jc w:val="right"/>
              <w:ind w:right="76"/>
              <w:spacing w:after="0" w:line="203" w:lineRule="exact"/>
              <w:rPr>
                <w:sz w:val="20"/>
                <w:szCs w:val="20"/>
                <w:color w:val="auto"/>
              </w:rPr>
            </w:pPr>
            <w:r>
              <w:rPr>
                <w:rFonts w:ascii="Arial" w:cs="Arial" w:eastAsia="Arial" w:hAnsi="Arial"/>
                <w:sz w:val="18"/>
                <w:szCs w:val="18"/>
                <w:color w:val="auto"/>
              </w:rPr>
              <w:t>9,906,798</w:t>
            </w:r>
          </w:p>
        </w:tc>
        <w:tc>
          <w:tcPr>
            <w:tcW w:w="2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r>
      <w:tr>
        <w:trPr>
          <w:trHeight w:val="202"/>
        </w:trPr>
        <w:tc>
          <w:tcPr>
            <w:tcW w:w="218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L. Schumacher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AbbVie Pension Plan</w:t>
            </w:r>
          </w:p>
        </w:tc>
        <w:tc>
          <w:tcPr>
            <w:tcW w:w="1080" w:type="dxa"/>
            <w:vAlign w:val="bottom"/>
            <w:shd w:val="clear" w:color="auto" w:fill="D9D9D9"/>
          </w:tcPr>
          <w:p>
            <w:pPr>
              <w:jc w:val="right"/>
              <w:ind w:right="55"/>
              <w:spacing w:after="0" w:line="201" w:lineRule="exact"/>
              <w:rPr>
                <w:sz w:val="20"/>
                <w:szCs w:val="20"/>
                <w:color w:val="auto"/>
              </w:rPr>
            </w:pPr>
            <w:r>
              <w:rPr>
                <w:rFonts w:ascii="Arial" w:cs="Arial" w:eastAsia="Arial" w:hAnsi="Arial"/>
                <w:sz w:val="18"/>
                <w:szCs w:val="18"/>
                <w:color w:val="auto"/>
              </w:rPr>
              <w:t>31</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76"/>
              <w:spacing w:after="0" w:line="201" w:lineRule="exact"/>
              <w:rPr>
                <w:sz w:val="20"/>
                <w:szCs w:val="20"/>
                <w:color w:val="auto"/>
              </w:rPr>
            </w:pPr>
            <w:r>
              <w:rPr>
                <w:rFonts w:ascii="Arial" w:cs="Arial" w:eastAsia="Arial" w:hAnsi="Arial"/>
                <w:sz w:val="18"/>
                <w:szCs w:val="18"/>
                <w:color w:val="auto"/>
              </w:rPr>
              <w:t>1,561,075</w:t>
            </w:r>
          </w:p>
        </w:tc>
        <w:tc>
          <w:tcPr>
            <w:tcW w:w="280" w:type="dxa"/>
            <w:vAlign w:val="bottom"/>
            <w:shd w:val="clear" w:color="auto" w:fill="D9D9D9"/>
          </w:tcPr>
          <w:p>
            <w:pPr>
              <w:spacing w:after="0"/>
              <w:rPr>
                <w:sz w:val="17"/>
                <w:szCs w:val="17"/>
                <w:color w:val="auto"/>
              </w:rPr>
            </w:pPr>
          </w:p>
        </w:tc>
        <w:tc>
          <w:tcPr>
            <w:tcW w:w="920" w:type="dxa"/>
            <w:vAlign w:val="bottom"/>
            <w:shd w:val="clear" w:color="auto" w:fill="D9D9D9"/>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shd w:val="clear" w:color="auto" w:fill="D9D9D9"/>
          </w:tcPr>
          <w:p>
            <w:pPr>
              <w:spacing w:after="0"/>
              <w:rPr>
                <w:sz w:val="17"/>
                <w:szCs w:val="17"/>
                <w:color w:val="auto"/>
              </w:rPr>
            </w:pPr>
          </w:p>
        </w:tc>
      </w:tr>
      <w:tr>
        <w:trPr>
          <w:trHeight w:val="203"/>
        </w:trPr>
        <w:tc>
          <w:tcPr>
            <w:tcW w:w="2180" w:type="dxa"/>
            <w:vAlign w:val="bottom"/>
            <w:shd w:val="clear" w:color="auto" w:fill="D9D9D9"/>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shd w:val="clear" w:color="auto" w:fill="D9D9D9"/>
          </w:tcPr>
          <w:p>
            <w:pPr>
              <w:spacing w:after="0" w:line="203" w:lineRule="exact"/>
              <w:rPr>
                <w:sz w:val="20"/>
                <w:szCs w:val="20"/>
                <w:color w:val="auto"/>
              </w:rPr>
            </w:pPr>
            <w:r>
              <w:rPr>
                <w:rFonts w:ascii="Arial" w:cs="Arial" w:eastAsia="Arial" w:hAnsi="Arial"/>
                <w:sz w:val="18"/>
                <w:szCs w:val="18"/>
                <w:color w:val="auto"/>
              </w:rPr>
              <w:t>AbbVie Supplemental Pension Plan</w:t>
            </w:r>
          </w:p>
        </w:tc>
        <w:tc>
          <w:tcPr>
            <w:tcW w:w="1080" w:type="dxa"/>
            <w:vAlign w:val="bottom"/>
            <w:shd w:val="clear" w:color="auto" w:fill="D9D9D9"/>
          </w:tcPr>
          <w:p>
            <w:pPr>
              <w:jc w:val="right"/>
              <w:ind w:right="55"/>
              <w:spacing w:after="0" w:line="203" w:lineRule="exact"/>
              <w:rPr>
                <w:sz w:val="20"/>
                <w:szCs w:val="20"/>
                <w:color w:val="auto"/>
              </w:rPr>
            </w:pPr>
            <w:r>
              <w:rPr>
                <w:rFonts w:ascii="Arial" w:cs="Arial" w:eastAsia="Arial" w:hAnsi="Arial"/>
                <w:sz w:val="18"/>
                <w:szCs w:val="18"/>
                <w:color w:val="auto"/>
              </w:rPr>
              <w:t>31</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76"/>
              <w:spacing w:after="0" w:line="203" w:lineRule="exact"/>
              <w:rPr>
                <w:sz w:val="20"/>
                <w:szCs w:val="20"/>
                <w:color w:val="auto"/>
              </w:rPr>
            </w:pPr>
            <w:r>
              <w:rPr>
                <w:rFonts w:ascii="Arial" w:cs="Arial" w:eastAsia="Arial" w:hAnsi="Arial"/>
                <w:sz w:val="18"/>
                <w:szCs w:val="18"/>
                <w:color w:val="auto"/>
              </w:rPr>
              <w:t>24,004,662</w:t>
            </w:r>
          </w:p>
        </w:tc>
        <w:tc>
          <w:tcPr>
            <w:tcW w:w="280" w:type="dxa"/>
            <w:vAlign w:val="bottom"/>
            <w:shd w:val="clear" w:color="auto" w:fill="D9D9D9"/>
          </w:tcPr>
          <w:p>
            <w:pPr>
              <w:spacing w:after="0"/>
              <w:rPr>
                <w:sz w:val="17"/>
                <w:szCs w:val="17"/>
                <w:color w:val="auto"/>
              </w:rPr>
            </w:pPr>
          </w:p>
        </w:tc>
        <w:tc>
          <w:tcPr>
            <w:tcW w:w="92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1,846,589</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M. Severino</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AbbVie Pension Plan</w:t>
            </w:r>
          </w:p>
        </w:tc>
        <w:tc>
          <w:tcPr>
            <w:tcW w:w="1080" w:type="dxa"/>
            <w:vAlign w:val="bottom"/>
          </w:tcPr>
          <w:p>
            <w:pPr>
              <w:jc w:val="right"/>
              <w:ind w:right="55"/>
              <w:spacing w:after="0" w:line="201"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1160" w:type="dxa"/>
            <w:vAlign w:val="bottom"/>
          </w:tcPr>
          <w:p>
            <w:pPr>
              <w:jc w:val="right"/>
              <w:ind w:right="76"/>
              <w:spacing w:after="0" w:line="201" w:lineRule="exact"/>
              <w:rPr>
                <w:sz w:val="20"/>
                <w:szCs w:val="20"/>
                <w:color w:val="auto"/>
              </w:rPr>
            </w:pPr>
            <w:r>
              <w:rPr>
                <w:rFonts w:ascii="Arial" w:cs="Arial" w:eastAsia="Arial" w:hAnsi="Arial"/>
                <w:sz w:val="18"/>
                <w:szCs w:val="18"/>
                <w:color w:val="auto"/>
              </w:rPr>
              <w:t>257,475</w:t>
            </w:r>
          </w:p>
        </w:tc>
        <w:tc>
          <w:tcPr>
            <w:tcW w:w="2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AbbVie Supplemental Pension Plan</w:t>
            </w:r>
          </w:p>
        </w:tc>
        <w:tc>
          <w:tcPr>
            <w:tcW w:w="1080" w:type="dxa"/>
            <w:vAlign w:val="bottom"/>
          </w:tcPr>
          <w:p>
            <w:pPr>
              <w:jc w:val="right"/>
              <w:ind w:right="55"/>
              <w:spacing w:after="0" w:line="203"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1160" w:type="dxa"/>
            <w:vAlign w:val="bottom"/>
          </w:tcPr>
          <w:p>
            <w:pPr>
              <w:jc w:val="right"/>
              <w:ind w:right="76"/>
              <w:spacing w:after="0" w:line="203" w:lineRule="exact"/>
              <w:rPr>
                <w:sz w:val="20"/>
                <w:szCs w:val="20"/>
                <w:color w:val="auto"/>
              </w:rPr>
            </w:pPr>
            <w:r>
              <w:rPr>
                <w:rFonts w:ascii="Arial" w:cs="Arial" w:eastAsia="Arial" w:hAnsi="Arial"/>
                <w:sz w:val="18"/>
                <w:szCs w:val="18"/>
                <w:color w:val="auto"/>
              </w:rPr>
              <w:t>4,929,345</w:t>
            </w:r>
          </w:p>
        </w:tc>
        <w:tc>
          <w:tcPr>
            <w:tcW w:w="2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392,205</w:t>
            </w:r>
          </w:p>
        </w:tc>
        <w:tc>
          <w:tcPr>
            <w:tcW w:w="2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02"/>
        </w:trPr>
        <w:tc>
          <w:tcPr>
            <w:tcW w:w="218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J. Stewart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shd w:val="clear" w:color="auto" w:fill="D9D9D9"/>
          </w:tcPr>
          <w:p>
            <w:pPr>
              <w:spacing w:after="0" w:line="201" w:lineRule="exact"/>
              <w:rPr>
                <w:sz w:val="20"/>
                <w:szCs w:val="20"/>
                <w:color w:val="auto"/>
              </w:rPr>
            </w:pPr>
            <w:r>
              <w:rPr>
                <w:rFonts w:ascii="Arial" w:cs="Arial" w:eastAsia="Arial" w:hAnsi="Arial"/>
                <w:sz w:val="18"/>
                <w:szCs w:val="18"/>
                <w:color w:val="auto"/>
              </w:rPr>
              <w:t>AbbVie Pension Plan</w:t>
            </w:r>
          </w:p>
        </w:tc>
        <w:tc>
          <w:tcPr>
            <w:tcW w:w="1080" w:type="dxa"/>
            <w:vAlign w:val="bottom"/>
            <w:shd w:val="clear" w:color="auto" w:fill="D9D9D9"/>
          </w:tcPr>
          <w:p>
            <w:pPr>
              <w:jc w:val="right"/>
              <w:ind w:right="55"/>
              <w:spacing w:after="0" w:line="201" w:lineRule="exact"/>
              <w:rPr>
                <w:sz w:val="20"/>
                <w:szCs w:val="20"/>
                <w:color w:val="auto"/>
              </w:rPr>
            </w:pPr>
            <w:r>
              <w:rPr>
                <w:rFonts w:ascii="Arial" w:cs="Arial" w:eastAsia="Arial" w:hAnsi="Arial"/>
                <w:sz w:val="18"/>
                <w:szCs w:val="18"/>
                <w:color w:val="auto"/>
              </w:rPr>
              <w:t>30</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76"/>
              <w:spacing w:after="0" w:line="201" w:lineRule="exact"/>
              <w:rPr>
                <w:sz w:val="20"/>
                <w:szCs w:val="20"/>
                <w:color w:val="auto"/>
              </w:rPr>
            </w:pPr>
            <w:r>
              <w:rPr>
                <w:rFonts w:ascii="Arial" w:cs="Arial" w:eastAsia="Arial" w:hAnsi="Arial"/>
                <w:sz w:val="18"/>
                <w:szCs w:val="18"/>
                <w:color w:val="auto"/>
              </w:rPr>
              <w:t>1,065,502</w:t>
            </w:r>
          </w:p>
        </w:tc>
        <w:tc>
          <w:tcPr>
            <w:tcW w:w="280" w:type="dxa"/>
            <w:vAlign w:val="bottom"/>
            <w:shd w:val="clear" w:color="auto" w:fill="D9D9D9"/>
          </w:tcPr>
          <w:p>
            <w:pPr>
              <w:spacing w:after="0"/>
              <w:rPr>
                <w:sz w:val="17"/>
                <w:szCs w:val="17"/>
                <w:color w:val="auto"/>
              </w:rPr>
            </w:pPr>
          </w:p>
        </w:tc>
        <w:tc>
          <w:tcPr>
            <w:tcW w:w="920" w:type="dxa"/>
            <w:vAlign w:val="bottom"/>
            <w:shd w:val="clear" w:color="auto" w:fill="D9D9D9"/>
          </w:tcPr>
          <w:p>
            <w:pPr>
              <w:jc w:val="right"/>
              <w:spacing w:after="0" w:line="201" w:lineRule="exact"/>
              <w:rPr>
                <w:sz w:val="20"/>
                <w:szCs w:val="20"/>
                <w:color w:val="auto"/>
              </w:rPr>
            </w:pPr>
            <w:r>
              <w:rPr>
                <w:rFonts w:ascii="Arial" w:cs="Arial" w:eastAsia="Arial" w:hAnsi="Arial"/>
                <w:sz w:val="18"/>
                <w:szCs w:val="18"/>
                <w:color w:val="auto"/>
              </w:rPr>
              <w:t>0</w:t>
            </w:r>
          </w:p>
        </w:tc>
        <w:tc>
          <w:tcPr>
            <w:tcW w:w="240" w:type="dxa"/>
            <w:vAlign w:val="bottom"/>
            <w:shd w:val="clear" w:color="auto" w:fill="D9D9D9"/>
          </w:tcPr>
          <w:p>
            <w:pPr>
              <w:spacing w:after="0"/>
              <w:rPr>
                <w:sz w:val="17"/>
                <w:szCs w:val="17"/>
                <w:color w:val="auto"/>
              </w:rPr>
            </w:pPr>
          </w:p>
        </w:tc>
      </w:tr>
      <w:tr>
        <w:trPr>
          <w:trHeight w:val="203"/>
        </w:trPr>
        <w:tc>
          <w:tcPr>
            <w:tcW w:w="2180" w:type="dxa"/>
            <w:vAlign w:val="bottom"/>
            <w:shd w:val="clear" w:color="auto" w:fill="D9D9D9"/>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shd w:val="clear" w:color="auto" w:fill="D9D9D9"/>
          </w:tcPr>
          <w:p>
            <w:pPr>
              <w:spacing w:after="0" w:line="203" w:lineRule="exact"/>
              <w:rPr>
                <w:sz w:val="20"/>
                <w:szCs w:val="20"/>
                <w:color w:val="auto"/>
              </w:rPr>
            </w:pPr>
            <w:r>
              <w:rPr>
                <w:rFonts w:ascii="Arial" w:cs="Arial" w:eastAsia="Arial" w:hAnsi="Arial"/>
                <w:sz w:val="18"/>
                <w:szCs w:val="18"/>
                <w:color w:val="auto"/>
              </w:rPr>
              <w:t>AbbVie Supplemental Pension Plan</w:t>
            </w:r>
          </w:p>
        </w:tc>
        <w:tc>
          <w:tcPr>
            <w:tcW w:w="1080" w:type="dxa"/>
            <w:vAlign w:val="bottom"/>
            <w:shd w:val="clear" w:color="auto" w:fill="D9D9D9"/>
          </w:tcPr>
          <w:p>
            <w:pPr>
              <w:jc w:val="right"/>
              <w:ind w:right="55"/>
              <w:spacing w:after="0" w:line="203" w:lineRule="exact"/>
              <w:rPr>
                <w:sz w:val="20"/>
                <w:szCs w:val="20"/>
                <w:color w:val="auto"/>
              </w:rPr>
            </w:pPr>
            <w:r>
              <w:rPr>
                <w:rFonts w:ascii="Arial" w:cs="Arial" w:eastAsia="Arial" w:hAnsi="Arial"/>
                <w:sz w:val="18"/>
                <w:szCs w:val="18"/>
                <w:color w:val="auto"/>
              </w:rPr>
              <w:t>30</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76"/>
              <w:spacing w:after="0" w:line="203" w:lineRule="exact"/>
              <w:rPr>
                <w:sz w:val="20"/>
                <w:szCs w:val="20"/>
                <w:color w:val="auto"/>
              </w:rPr>
            </w:pPr>
            <w:r>
              <w:rPr>
                <w:rFonts w:ascii="Arial" w:cs="Arial" w:eastAsia="Arial" w:hAnsi="Arial"/>
                <w:sz w:val="18"/>
                <w:szCs w:val="18"/>
                <w:color w:val="auto"/>
              </w:rPr>
              <w:t>8,459,023</w:t>
            </w:r>
          </w:p>
        </w:tc>
        <w:tc>
          <w:tcPr>
            <w:tcW w:w="280" w:type="dxa"/>
            <w:vAlign w:val="bottom"/>
            <w:shd w:val="clear" w:color="auto" w:fill="D9D9D9"/>
          </w:tcPr>
          <w:p>
            <w:pPr>
              <w:spacing w:after="0"/>
              <w:rPr>
                <w:sz w:val="17"/>
                <w:szCs w:val="17"/>
                <w:color w:val="auto"/>
              </w:rPr>
            </w:pPr>
          </w:p>
        </w:tc>
        <w:tc>
          <w:tcPr>
            <w:tcW w:w="920" w:type="dxa"/>
            <w:vAlign w:val="bottom"/>
            <w:shd w:val="clear" w:color="auto" w:fill="D9D9D9"/>
          </w:tcPr>
          <w:p>
            <w:pPr>
              <w:jc w:val="right"/>
              <w:spacing w:after="0" w:line="203" w:lineRule="exact"/>
              <w:rPr>
                <w:sz w:val="20"/>
                <w:szCs w:val="20"/>
                <w:color w:val="auto"/>
              </w:rPr>
            </w:pPr>
            <w:r>
              <w:rPr>
                <w:rFonts w:ascii="Arial" w:cs="Arial" w:eastAsia="Arial" w:hAnsi="Arial"/>
                <w:sz w:val="18"/>
                <w:szCs w:val="18"/>
                <w:color w:val="auto"/>
              </w:rPr>
              <w:t>844,308</w:t>
            </w:r>
          </w:p>
        </w:tc>
        <w:tc>
          <w:tcPr>
            <w:tcW w:w="24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w:t>
            </w:r>
          </w:p>
        </w:tc>
      </w:tr>
      <w:tr>
        <w:trPr>
          <w:trHeight w:val="108"/>
        </w:trPr>
        <w:tc>
          <w:tcPr>
            <w:tcW w:w="2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94" w:lineRule="exact"/>
        <w:rPr>
          <w:sz w:val="20"/>
          <w:szCs w:val="20"/>
          <w:color w:val="auto"/>
        </w:rPr>
      </w:pPr>
    </w:p>
    <w:p>
      <w:pPr>
        <w:ind w:left="321" w:right="60" w:hanging="321"/>
        <w:spacing w:after="0" w:line="236" w:lineRule="auto"/>
        <w:tabs>
          <w:tab w:leader="none" w:pos="3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AbbVie calculated these present values using: (i) a discount rate of 3.25% for the Pension Plan and a discount rate of 3.21%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p>
      <w:pPr>
        <w:spacing w:after="0" w:line="206" w:lineRule="exact"/>
        <w:rPr>
          <w:rFonts w:ascii="Arial" w:cs="Arial" w:eastAsia="Arial" w:hAnsi="Arial"/>
          <w:sz w:val="18"/>
          <w:szCs w:val="18"/>
          <w:color w:val="auto"/>
        </w:rPr>
      </w:pPr>
    </w:p>
    <w:p>
      <w:pPr>
        <w:ind w:left="321" w:right="40" w:hanging="321"/>
        <w:spacing w:after="0" w:line="236" w:lineRule="auto"/>
        <w:tabs>
          <w:tab w:leader="none" w:pos="3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2021,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him or her under the plan. Grantor trusts are described in greater detail in the section of this proxy statement captioned “Compensation Plan Elements—Benefits— Retirement Benefits.”</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Non-Qualified Deferred Compensation</w:t>
      </w:r>
    </w:p>
    <w:p>
      <w:pPr>
        <w:spacing w:after="0" w:line="193" w:lineRule="exact"/>
        <w:rPr>
          <w:sz w:val="20"/>
          <w:szCs w:val="20"/>
          <w:color w:val="auto"/>
        </w:rPr>
      </w:pPr>
    </w:p>
    <w:p>
      <w:pPr>
        <w:ind w:left="1" w:right="180"/>
        <w:spacing w:after="0" w:line="238" w:lineRule="auto"/>
        <w:rPr>
          <w:sz w:val="20"/>
          <w:szCs w:val="20"/>
          <w:color w:val="auto"/>
        </w:rPr>
      </w:pPr>
      <w:r>
        <w:rPr>
          <w:rFonts w:ascii="Arial" w:cs="Arial" w:eastAsia="Arial" w:hAnsi="Arial"/>
          <w:sz w:val="18"/>
          <w:szCs w:val="18"/>
          <w:color w:val="auto"/>
        </w:rPr>
        <w:t>The following table summarizes Mr. Stewart’s non-qualified deferred compensation under the AbbVie Deferred Compensation Plan. No additional contributions have been made to his account under the plan since such time as Mr. Stewart became an officer and ceased to be eligible to contribute to the plan. None of the other NEOs has any non-qualified deferred compensation under the plan.</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4"/>
              <w:spacing w:after="0"/>
              <w:rPr>
                <w:sz w:val="20"/>
                <w:szCs w:val="20"/>
                <w:color w:val="auto"/>
              </w:rPr>
            </w:pPr>
            <w:r>
              <w:rPr>
                <w:rFonts w:ascii="Arial" w:cs="Arial" w:eastAsia="Arial" w:hAnsi="Arial"/>
                <w:sz w:val="14"/>
                <w:szCs w:val="14"/>
                <w:b w:val="1"/>
                <w:bCs w:val="1"/>
                <w:color w:val="454968"/>
              </w:rPr>
              <w:t>Executive</w:t>
            </w:r>
          </w:p>
        </w:tc>
        <w:tc>
          <w:tcPr>
            <w:tcW w:w="1200" w:type="dxa"/>
            <w:vAlign w:val="bottom"/>
          </w:tcPr>
          <w:p>
            <w:pPr>
              <w:jc w:val="right"/>
              <w:ind w:right="44"/>
              <w:spacing w:after="0"/>
              <w:rPr>
                <w:sz w:val="20"/>
                <w:szCs w:val="20"/>
                <w:color w:val="auto"/>
              </w:rPr>
            </w:pPr>
            <w:r>
              <w:rPr>
                <w:rFonts w:ascii="Arial" w:cs="Arial" w:eastAsia="Arial" w:hAnsi="Arial"/>
                <w:sz w:val="14"/>
                <w:szCs w:val="14"/>
                <w:b w:val="1"/>
                <w:bCs w:val="1"/>
                <w:color w:val="454968"/>
              </w:rPr>
              <w:t>Registrant</w:t>
            </w:r>
          </w:p>
        </w:tc>
        <w:tc>
          <w:tcPr>
            <w:tcW w:w="1000" w:type="dxa"/>
            <w:vAlign w:val="bottom"/>
          </w:tcPr>
          <w:p>
            <w:pPr>
              <w:jc w:val="right"/>
              <w:ind w:right="84"/>
              <w:spacing w:after="0"/>
              <w:rPr>
                <w:sz w:val="20"/>
                <w:szCs w:val="20"/>
                <w:color w:val="auto"/>
              </w:rPr>
            </w:pPr>
            <w:r>
              <w:rPr>
                <w:rFonts w:ascii="Arial" w:cs="Arial" w:eastAsia="Arial" w:hAnsi="Arial"/>
                <w:sz w:val="14"/>
                <w:szCs w:val="14"/>
                <w:b w:val="1"/>
                <w:bCs w:val="1"/>
                <w:color w:val="454968"/>
              </w:rPr>
              <w:t>Aggregate</w:t>
            </w:r>
          </w:p>
        </w:tc>
        <w:tc>
          <w:tcPr>
            <w:tcW w:w="1160" w:type="dxa"/>
            <w:vAlign w:val="bottom"/>
          </w:tcPr>
          <w:p>
            <w:pPr>
              <w:jc w:val="right"/>
              <w:ind w:right="84"/>
              <w:spacing w:after="0"/>
              <w:rPr>
                <w:sz w:val="20"/>
                <w:szCs w:val="20"/>
                <w:color w:val="auto"/>
              </w:rPr>
            </w:pPr>
            <w:r>
              <w:rPr>
                <w:rFonts w:ascii="Arial" w:cs="Arial" w:eastAsia="Arial" w:hAnsi="Arial"/>
                <w:sz w:val="14"/>
                <w:szCs w:val="14"/>
                <w:b w:val="1"/>
                <w:bCs w:val="1"/>
                <w:color w:val="454968"/>
              </w:rPr>
              <w:t>Aggregate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454968"/>
              </w:rPr>
              <w:t>Aggregate</w:t>
            </w:r>
          </w:p>
        </w:tc>
      </w:tr>
      <w:tr>
        <w:trPr>
          <w:trHeight w:val="162"/>
        </w:trPr>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4"/>
              <w:spacing w:after="0"/>
              <w:rPr>
                <w:sz w:val="20"/>
                <w:szCs w:val="20"/>
                <w:color w:val="auto"/>
              </w:rPr>
            </w:pPr>
            <w:r>
              <w:rPr>
                <w:rFonts w:ascii="Arial" w:cs="Arial" w:eastAsia="Arial" w:hAnsi="Arial"/>
                <w:sz w:val="14"/>
                <w:szCs w:val="14"/>
                <w:b w:val="1"/>
                <w:bCs w:val="1"/>
                <w:color w:val="454968"/>
              </w:rPr>
              <w:t>contributions</w:t>
            </w:r>
          </w:p>
        </w:tc>
        <w:tc>
          <w:tcPr>
            <w:tcW w:w="1200" w:type="dxa"/>
            <w:vAlign w:val="bottom"/>
          </w:tcPr>
          <w:p>
            <w:pPr>
              <w:jc w:val="right"/>
              <w:ind w:right="44"/>
              <w:spacing w:after="0"/>
              <w:rPr>
                <w:sz w:val="20"/>
                <w:szCs w:val="20"/>
                <w:color w:val="auto"/>
              </w:rPr>
            </w:pPr>
            <w:r>
              <w:rPr>
                <w:rFonts w:ascii="Arial" w:cs="Arial" w:eastAsia="Arial" w:hAnsi="Arial"/>
                <w:sz w:val="14"/>
                <w:szCs w:val="14"/>
                <w:b w:val="1"/>
                <w:bCs w:val="1"/>
                <w:color w:val="454968"/>
              </w:rPr>
              <w:t>contributions</w:t>
            </w:r>
          </w:p>
        </w:tc>
        <w:tc>
          <w:tcPr>
            <w:tcW w:w="1000" w:type="dxa"/>
            <w:vAlign w:val="bottom"/>
          </w:tcPr>
          <w:p>
            <w:pPr>
              <w:jc w:val="right"/>
              <w:ind w:right="84"/>
              <w:spacing w:after="0"/>
              <w:rPr>
                <w:sz w:val="20"/>
                <w:szCs w:val="20"/>
                <w:color w:val="auto"/>
              </w:rPr>
            </w:pPr>
            <w:r>
              <w:rPr>
                <w:rFonts w:ascii="Arial" w:cs="Arial" w:eastAsia="Arial" w:hAnsi="Arial"/>
                <w:sz w:val="14"/>
                <w:szCs w:val="14"/>
                <w:b w:val="1"/>
                <w:bCs w:val="1"/>
                <w:color w:val="454968"/>
              </w:rPr>
              <w:t>earnings</w:t>
            </w:r>
          </w:p>
        </w:tc>
        <w:tc>
          <w:tcPr>
            <w:tcW w:w="1160" w:type="dxa"/>
            <w:vAlign w:val="bottom"/>
          </w:tcPr>
          <w:p>
            <w:pPr>
              <w:jc w:val="right"/>
              <w:ind w:right="84"/>
              <w:spacing w:after="0"/>
              <w:rPr>
                <w:sz w:val="20"/>
                <w:szCs w:val="20"/>
                <w:color w:val="auto"/>
              </w:rPr>
            </w:pPr>
            <w:r>
              <w:rPr>
                <w:rFonts w:ascii="Arial" w:cs="Arial" w:eastAsia="Arial" w:hAnsi="Arial"/>
                <w:sz w:val="14"/>
                <w:szCs w:val="14"/>
                <w:b w:val="1"/>
                <w:bCs w:val="1"/>
                <w:color w:val="454968"/>
              </w:rPr>
              <w:t>withdrawals/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454968"/>
              </w:rPr>
              <w:t>balance at</w:t>
            </w:r>
          </w:p>
        </w:tc>
      </w:tr>
      <w:tr>
        <w:trPr>
          <w:trHeight w:val="162"/>
        </w:trPr>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jc w:val="right"/>
              <w:ind w:right="64"/>
              <w:spacing w:after="0"/>
              <w:rPr>
                <w:sz w:val="20"/>
                <w:szCs w:val="20"/>
                <w:color w:val="auto"/>
              </w:rPr>
            </w:pPr>
            <w:r>
              <w:rPr>
                <w:rFonts w:ascii="Arial" w:cs="Arial" w:eastAsia="Arial" w:hAnsi="Arial"/>
                <w:sz w:val="14"/>
                <w:szCs w:val="14"/>
                <w:b w:val="1"/>
                <w:bCs w:val="1"/>
                <w:color w:val="454968"/>
              </w:rPr>
              <w:t>in last FY</w:t>
            </w:r>
          </w:p>
        </w:tc>
        <w:tc>
          <w:tcPr>
            <w:tcW w:w="1200" w:type="dxa"/>
            <w:vAlign w:val="bottom"/>
          </w:tcPr>
          <w:p>
            <w:pPr>
              <w:jc w:val="right"/>
              <w:ind w:right="44"/>
              <w:spacing w:after="0"/>
              <w:rPr>
                <w:sz w:val="20"/>
                <w:szCs w:val="20"/>
                <w:color w:val="auto"/>
              </w:rPr>
            </w:pPr>
            <w:r>
              <w:rPr>
                <w:rFonts w:ascii="Arial" w:cs="Arial" w:eastAsia="Arial" w:hAnsi="Arial"/>
                <w:sz w:val="14"/>
                <w:szCs w:val="14"/>
                <w:b w:val="1"/>
                <w:bCs w:val="1"/>
                <w:color w:val="454968"/>
              </w:rPr>
              <w:t>in last FY</w:t>
            </w:r>
          </w:p>
        </w:tc>
        <w:tc>
          <w:tcPr>
            <w:tcW w:w="1000" w:type="dxa"/>
            <w:vAlign w:val="bottom"/>
          </w:tcPr>
          <w:p>
            <w:pPr>
              <w:jc w:val="right"/>
              <w:ind w:right="84"/>
              <w:spacing w:after="0"/>
              <w:rPr>
                <w:sz w:val="20"/>
                <w:szCs w:val="20"/>
                <w:color w:val="auto"/>
              </w:rPr>
            </w:pPr>
            <w:r>
              <w:rPr>
                <w:rFonts w:ascii="Arial" w:cs="Arial" w:eastAsia="Arial" w:hAnsi="Arial"/>
                <w:sz w:val="14"/>
                <w:szCs w:val="14"/>
                <w:b w:val="1"/>
                <w:bCs w:val="1"/>
                <w:color w:val="454968"/>
              </w:rPr>
              <w:t>in last FY</w:t>
            </w:r>
          </w:p>
        </w:tc>
        <w:tc>
          <w:tcPr>
            <w:tcW w:w="1160" w:type="dxa"/>
            <w:vAlign w:val="bottom"/>
          </w:tcPr>
          <w:p>
            <w:pPr>
              <w:jc w:val="right"/>
              <w:ind w:right="84"/>
              <w:spacing w:after="0"/>
              <w:rPr>
                <w:sz w:val="20"/>
                <w:szCs w:val="20"/>
                <w:color w:val="auto"/>
              </w:rPr>
            </w:pPr>
            <w:r>
              <w:rPr>
                <w:rFonts w:ascii="Arial" w:cs="Arial" w:eastAsia="Arial" w:hAnsi="Arial"/>
                <w:sz w:val="14"/>
                <w:szCs w:val="14"/>
                <w:b w:val="1"/>
                <w:bCs w:val="1"/>
                <w:color w:val="454968"/>
              </w:rPr>
              <w:t>distributions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454968"/>
              </w:rPr>
              <w:t>last FYE</w:t>
            </w:r>
          </w:p>
        </w:tc>
      </w:tr>
      <w:tr>
        <w:trPr>
          <w:trHeight w:val="175"/>
        </w:trPr>
        <w:tc>
          <w:tcPr>
            <w:tcW w:w="900" w:type="dxa"/>
            <w:vAlign w:val="bottom"/>
            <w:tcBorders>
              <w:bottom w:val="single" w:sz="8" w:color="071D49"/>
            </w:tcBorders>
          </w:tcPr>
          <w:p>
            <w:pPr>
              <w:spacing w:after="0"/>
              <w:rPr>
                <w:sz w:val="20"/>
                <w:szCs w:val="20"/>
                <w:color w:val="auto"/>
              </w:rPr>
            </w:pPr>
            <w:r>
              <w:rPr>
                <w:rFonts w:ascii="Arial" w:cs="Arial" w:eastAsia="Arial" w:hAnsi="Arial"/>
                <w:sz w:val="14"/>
                <w:szCs w:val="14"/>
                <w:b w:val="1"/>
                <w:bCs w:val="1"/>
                <w:color w:val="454968"/>
              </w:rPr>
              <w:t>Name</w:t>
            </w:r>
          </w:p>
        </w:tc>
        <w:tc>
          <w:tcPr>
            <w:tcW w:w="2760" w:type="dxa"/>
            <w:vAlign w:val="bottom"/>
            <w:tcBorders>
              <w:bottom w:val="single" w:sz="8" w:color="071D49"/>
            </w:tcBorders>
            <w:gridSpan w:val="2"/>
          </w:tcPr>
          <w:p>
            <w:pPr>
              <w:ind w:left="120"/>
              <w:spacing w:after="0"/>
              <w:rPr>
                <w:sz w:val="20"/>
                <w:szCs w:val="20"/>
                <w:color w:val="auto"/>
              </w:rPr>
            </w:pPr>
            <w:r>
              <w:rPr>
                <w:rFonts w:ascii="Arial" w:cs="Arial" w:eastAsia="Arial" w:hAnsi="Arial"/>
                <w:sz w:val="14"/>
                <w:szCs w:val="14"/>
                <w:b w:val="1"/>
                <w:bCs w:val="1"/>
                <w:color w:val="454968"/>
              </w:rPr>
              <w:t>Plan Name(1)(2)</w:t>
            </w:r>
          </w:p>
        </w:tc>
        <w:tc>
          <w:tcPr>
            <w:tcW w:w="1380" w:type="dxa"/>
            <w:vAlign w:val="bottom"/>
            <w:tcBorders>
              <w:bottom w:val="single" w:sz="8" w:color="071D49"/>
            </w:tcBorders>
          </w:tcPr>
          <w:p>
            <w:pPr>
              <w:jc w:val="right"/>
              <w:ind w:right="64"/>
              <w:spacing w:after="0"/>
              <w:rPr>
                <w:sz w:val="20"/>
                <w:szCs w:val="20"/>
                <w:color w:val="auto"/>
              </w:rPr>
            </w:pPr>
            <w:r>
              <w:rPr>
                <w:rFonts w:ascii="Arial" w:cs="Arial" w:eastAsia="Arial" w:hAnsi="Arial"/>
                <w:sz w:val="14"/>
                <w:szCs w:val="14"/>
                <w:b w:val="1"/>
                <w:bCs w:val="1"/>
                <w:color w:val="454968"/>
              </w:rPr>
              <w:t>($)</w:t>
            </w:r>
          </w:p>
        </w:tc>
        <w:tc>
          <w:tcPr>
            <w:tcW w:w="1200" w:type="dxa"/>
            <w:vAlign w:val="bottom"/>
            <w:tcBorders>
              <w:bottom w:val="single" w:sz="8" w:color="071D49"/>
            </w:tcBorders>
          </w:tcPr>
          <w:p>
            <w:pPr>
              <w:jc w:val="right"/>
              <w:ind w:right="44"/>
              <w:spacing w:after="0"/>
              <w:rPr>
                <w:sz w:val="20"/>
                <w:szCs w:val="20"/>
                <w:color w:val="auto"/>
              </w:rPr>
            </w:pPr>
            <w:r>
              <w:rPr>
                <w:rFonts w:ascii="Arial" w:cs="Arial" w:eastAsia="Arial" w:hAnsi="Arial"/>
                <w:sz w:val="14"/>
                <w:szCs w:val="14"/>
                <w:b w:val="1"/>
                <w:bCs w:val="1"/>
                <w:color w:val="454968"/>
              </w:rPr>
              <w:t>($)</w:t>
            </w:r>
          </w:p>
        </w:tc>
        <w:tc>
          <w:tcPr>
            <w:tcW w:w="1000" w:type="dxa"/>
            <w:vAlign w:val="bottom"/>
            <w:tcBorders>
              <w:bottom w:val="single" w:sz="8" w:color="071D49"/>
            </w:tcBorders>
          </w:tcPr>
          <w:p>
            <w:pPr>
              <w:jc w:val="right"/>
              <w:ind w:right="84"/>
              <w:spacing w:after="0"/>
              <w:rPr>
                <w:sz w:val="20"/>
                <w:szCs w:val="20"/>
                <w:color w:val="auto"/>
              </w:rPr>
            </w:pPr>
            <w:r>
              <w:rPr>
                <w:rFonts w:ascii="Arial" w:cs="Arial" w:eastAsia="Arial" w:hAnsi="Arial"/>
                <w:sz w:val="14"/>
                <w:szCs w:val="14"/>
                <w:b w:val="1"/>
                <w:bCs w:val="1"/>
                <w:color w:val="454968"/>
              </w:rPr>
              <w:t>($)(3)</w:t>
            </w:r>
          </w:p>
        </w:tc>
        <w:tc>
          <w:tcPr>
            <w:tcW w:w="1160" w:type="dxa"/>
            <w:vAlign w:val="bottom"/>
            <w:tcBorders>
              <w:bottom w:val="single" w:sz="8" w:color="071D49"/>
            </w:tcBorders>
          </w:tcPr>
          <w:p>
            <w:pPr>
              <w:jc w:val="right"/>
              <w:ind w:right="84"/>
              <w:spacing w:after="0"/>
              <w:rPr>
                <w:sz w:val="20"/>
                <w:szCs w:val="20"/>
                <w:color w:val="auto"/>
              </w:rPr>
            </w:pPr>
            <w:r>
              <w:rPr>
                <w:rFonts w:ascii="Arial" w:cs="Arial" w:eastAsia="Arial" w:hAnsi="Arial"/>
                <w:sz w:val="14"/>
                <w:szCs w:val="14"/>
                <w:b w:val="1"/>
                <w:bCs w:val="1"/>
                <w:color w:val="454968"/>
              </w:rPr>
              <w:t>($)(4)</w:t>
            </w:r>
          </w:p>
        </w:tc>
        <w:tc>
          <w:tcPr>
            <w:tcW w:w="860" w:type="dxa"/>
            <w:vAlign w:val="bottom"/>
            <w:tcBorders>
              <w:bottom w:val="single" w:sz="8" w:color="071D49"/>
            </w:tcBorders>
          </w:tcPr>
          <w:p>
            <w:pPr>
              <w:jc w:val="right"/>
              <w:spacing w:after="0"/>
              <w:rPr>
                <w:sz w:val="20"/>
                <w:szCs w:val="20"/>
                <w:color w:val="auto"/>
              </w:rPr>
            </w:pPr>
            <w:r>
              <w:rPr>
                <w:rFonts w:ascii="Arial" w:cs="Arial" w:eastAsia="Arial" w:hAnsi="Arial"/>
                <w:sz w:val="14"/>
                <w:szCs w:val="14"/>
                <w:b w:val="1"/>
                <w:bCs w:val="1"/>
                <w:color w:val="454968"/>
              </w:rPr>
              <w:t>($)</w:t>
            </w:r>
          </w:p>
        </w:tc>
      </w:tr>
      <w:tr>
        <w:trPr>
          <w:trHeight w:val="196"/>
        </w:trPr>
        <w:tc>
          <w:tcPr>
            <w:tcW w:w="9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J. Stewart</w:t>
            </w:r>
          </w:p>
        </w:tc>
        <w:tc>
          <w:tcPr>
            <w:tcW w:w="2760" w:type="dxa"/>
            <w:vAlign w:val="bottom"/>
            <w:gridSpan w:val="2"/>
            <w:shd w:val="clear" w:color="auto" w:fill="D9D9D9"/>
          </w:tcPr>
          <w:p>
            <w:pPr>
              <w:ind w:left="120"/>
              <w:spacing w:after="0" w:line="196" w:lineRule="exact"/>
              <w:rPr>
                <w:sz w:val="20"/>
                <w:szCs w:val="20"/>
                <w:color w:val="auto"/>
              </w:rPr>
            </w:pPr>
            <w:r>
              <w:rPr>
                <w:rFonts w:ascii="Arial" w:cs="Arial" w:eastAsia="Arial" w:hAnsi="Arial"/>
                <w:sz w:val="18"/>
                <w:szCs w:val="18"/>
                <w:color w:val="auto"/>
              </w:rPr>
              <w:t>Deferred Compensation Plan</w:t>
            </w:r>
          </w:p>
        </w:tc>
        <w:tc>
          <w:tcPr>
            <w:tcW w:w="1380" w:type="dxa"/>
            <w:vAlign w:val="bottom"/>
            <w:shd w:val="clear" w:color="auto" w:fill="D9D9D9"/>
          </w:tcPr>
          <w:p>
            <w:pPr>
              <w:jc w:val="right"/>
              <w:ind w:right="124"/>
              <w:spacing w:after="0" w:line="196" w:lineRule="exact"/>
              <w:rPr>
                <w:sz w:val="20"/>
                <w:szCs w:val="20"/>
                <w:color w:val="auto"/>
              </w:rPr>
            </w:pPr>
            <w:r>
              <w:rPr>
                <w:rFonts w:ascii="Arial" w:cs="Arial" w:eastAsia="Arial" w:hAnsi="Arial"/>
                <w:sz w:val="18"/>
                <w:szCs w:val="18"/>
                <w:color w:val="auto"/>
              </w:rPr>
              <w:t>0</w:t>
            </w:r>
          </w:p>
        </w:tc>
        <w:tc>
          <w:tcPr>
            <w:tcW w:w="1200" w:type="dxa"/>
            <w:vAlign w:val="bottom"/>
            <w:shd w:val="clear" w:color="auto" w:fill="D9D9D9"/>
          </w:tcPr>
          <w:p>
            <w:pPr>
              <w:jc w:val="right"/>
              <w:ind w:right="104"/>
              <w:spacing w:after="0" w:line="196" w:lineRule="exact"/>
              <w:rPr>
                <w:sz w:val="20"/>
                <w:szCs w:val="20"/>
                <w:color w:val="auto"/>
              </w:rPr>
            </w:pPr>
            <w:r>
              <w:rPr>
                <w:rFonts w:ascii="Arial" w:cs="Arial" w:eastAsia="Arial" w:hAnsi="Arial"/>
                <w:sz w:val="18"/>
                <w:szCs w:val="18"/>
                <w:color w:val="auto"/>
              </w:rPr>
              <w:t>0</w:t>
            </w:r>
          </w:p>
        </w:tc>
        <w:tc>
          <w:tcPr>
            <w:tcW w:w="1000" w:type="dxa"/>
            <w:vAlign w:val="bottom"/>
            <w:shd w:val="clear" w:color="auto" w:fill="D9D9D9"/>
          </w:tcPr>
          <w:p>
            <w:pPr>
              <w:jc w:val="right"/>
              <w:ind w:right="124"/>
              <w:spacing w:after="0" w:line="196" w:lineRule="exact"/>
              <w:rPr>
                <w:sz w:val="20"/>
                <w:szCs w:val="20"/>
                <w:color w:val="auto"/>
              </w:rPr>
            </w:pPr>
            <w:r>
              <w:rPr>
                <w:rFonts w:ascii="Arial" w:cs="Arial" w:eastAsia="Arial" w:hAnsi="Arial"/>
                <w:sz w:val="18"/>
                <w:szCs w:val="18"/>
                <w:color w:val="auto"/>
              </w:rPr>
              <w:t>1,619</w:t>
            </w:r>
          </w:p>
        </w:tc>
        <w:tc>
          <w:tcPr>
            <w:tcW w:w="1160" w:type="dxa"/>
            <w:vAlign w:val="bottom"/>
            <w:shd w:val="clear" w:color="auto" w:fill="D9D9D9"/>
          </w:tcPr>
          <w:p>
            <w:pPr>
              <w:jc w:val="right"/>
              <w:ind w:right="124"/>
              <w:spacing w:after="0" w:line="196" w:lineRule="exact"/>
              <w:rPr>
                <w:sz w:val="20"/>
                <w:szCs w:val="20"/>
                <w:color w:val="auto"/>
              </w:rPr>
            </w:pPr>
            <w:r>
              <w:rPr>
                <w:rFonts w:ascii="Arial" w:cs="Arial" w:eastAsia="Arial" w:hAnsi="Arial"/>
                <w:sz w:val="18"/>
                <w:szCs w:val="18"/>
                <w:color w:val="auto"/>
              </w:rPr>
              <w:t>0</w:t>
            </w:r>
          </w:p>
        </w:tc>
        <w:tc>
          <w:tcPr>
            <w:tcW w:w="8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157,947</w:t>
            </w:r>
          </w:p>
        </w:tc>
      </w:tr>
      <w:tr>
        <w:trPr>
          <w:trHeight w:val="108"/>
        </w:trPr>
        <w:tc>
          <w:tcPr>
            <w:tcW w:w="9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94" w:lineRule="exact"/>
        <w:rPr>
          <w:sz w:val="20"/>
          <w:szCs w:val="20"/>
          <w:color w:val="auto"/>
        </w:rPr>
      </w:pPr>
    </w:p>
    <w:p>
      <w:pPr>
        <w:ind w:left="1"/>
        <w:spacing w:after="0"/>
        <w:tabs>
          <w:tab w:leader="none" w:pos="361"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Mr. Stewart’s contributions to the Deferred Compensation Plan ceased in 2009.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64" w:name="page65"/>
    <w:bookmarkEnd w:id="64"/>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81" w:right="40" w:hanging="381"/>
        <w:spacing w:after="0" w:line="248" w:lineRule="auto"/>
        <w:tabs>
          <w:tab w:leader="none" w:pos="38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2021, the weighted average rate of return credited to the account was 1.0% for</w:t>
      </w:r>
    </w:p>
    <w:p>
      <w:pPr>
        <w:spacing w:after="0" w:line="3" w:lineRule="exact"/>
        <w:rPr>
          <w:rFonts w:ascii="Arial" w:cs="Arial" w:eastAsia="Arial" w:hAnsi="Arial"/>
          <w:sz w:val="17"/>
          <w:szCs w:val="17"/>
          <w:color w:val="auto"/>
        </w:rPr>
      </w:pPr>
    </w:p>
    <w:p>
      <w:pPr>
        <w:ind w:left="381"/>
        <w:spacing w:after="0"/>
        <w:rPr>
          <w:rFonts w:ascii="Arial" w:cs="Arial" w:eastAsia="Arial" w:hAnsi="Arial"/>
          <w:sz w:val="17"/>
          <w:szCs w:val="17"/>
          <w:color w:val="auto"/>
        </w:rPr>
      </w:pPr>
      <w:r>
        <w:rPr>
          <w:rFonts w:ascii="Arial" w:cs="Arial" w:eastAsia="Arial" w:hAnsi="Arial"/>
          <w:sz w:val="18"/>
          <w:szCs w:val="18"/>
          <w:color w:val="auto"/>
        </w:rPr>
        <w:t>Mr. Stewart.</w:t>
      </w:r>
    </w:p>
    <w:p>
      <w:pPr>
        <w:spacing w:after="0" w:line="211" w:lineRule="exact"/>
        <w:rPr>
          <w:rFonts w:ascii="Arial" w:cs="Arial" w:eastAsia="Arial" w:hAnsi="Arial"/>
          <w:sz w:val="17"/>
          <w:szCs w:val="17"/>
          <w:color w:val="auto"/>
        </w:rPr>
      </w:pPr>
    </w:p>
    <w:p>
      <w:pPr>
        <w:ind w:left="381" w:right="100"/>
        <w:spacing w:after="0" w:line="238" w:lineRule="auto"/>
        <w:rPr>
          <w:rFonts w:ascii="Arial" w:cs="Arial" w:eastAsia="Arial" w:hAnsi="Arial"/>
          <w:sz w:val="17"/>
          <w:szCs w:val="17"/>
          <w:color w:val="auto"/>
        </w:rPr>
      </w:pPr>
      <w:r>
        <w:rPr>
          <w:rFonts w:ascii="Arial" w:cs="Arial" w:eastAsia="Arial" w:hAnsi="Arial"/>
          <w:sz w:val="18"/>
          <w:szCs w:val="18"/>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202" w:lineRule="exact"/>
        <w:rPr>
          <w:rFonts w:ascii="Arial" w:cs="Arial" w:eastAsia="Arial" w:hAnsi="Arial"/>
          <w:sz w:val="17"/>
          <w:szCs w:val="17"/>
          <w:color w:val="auto"/>
        </w:rPr>
      </w:pPr>
    </w:p>
    <w:p>
      <w:pPr>
        <w:ind w:left="381" w:right="600" w:hanging="381"/>
        <w:spacing w:after="0" w:line="246" w:lineRule="auto"/>
        <w:tabs>
          <w:tab w:leader="none" w:pos="3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in the Summary Compensation Table of this proxy statement.</w:t>
      </w:r>
    </w:p>
    <w:p>
      <w:pPr>
        <w:spacing w:after="0" w:line="196" w:lineRule="exact"/>
        <w:rPr>
          <w:rFonts w:ascii="Arial" w:cs="Arial" w:eastAsia="Arial" w:hAnsi="Arial"/>
          <w:sz w:val="18"/>
          <w:szCs w:val="18"/>
          <w:color w:val="auto"/>
        </w:rPr>
      </w:pPr>
    </w:p>
    <w:p>
      <w:pPr>
        <w:ind w:left="381" w:hanging="381"/>
        <w:spacing w:after="0"/>
        <w:tabs>
          <w:tab w:leader="none" w:pos="3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reported in this column have not been previously reported as compensation in AbbVie’s Summary Compensation Tables because they relate to contributions made before the applicable individual became an NEO.</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32"/>
          <w:szCs w:val="32"/>
          <w:color w:val="auto"/>
        </w:rPr>
        <w:t>Potential Payments upon Termination or Change in Control</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POTENTIAL PAYMENTS UPON TERMINATION – GENERALLY</w:t>
      </w:r>
    </w:p>
    <w:p>
      <w:pPr>
        <w:spacing w:after="0" w:line="193" w:lineRule="exact"/>
        <w:rPr>
          <w:sz w:val="20"/>
          <w:szCs w:val="20"/>
          <w:color w:val="auto"/>
        </w:rPr>
      </w:pPr>
    </w:p>
    <w:p>
      <w:pPr>
        <w:ind w:left="1" w:right="60"/>
        <w:spacing w:after="0" w:line="238" w:lineRule="auto"/>
        <w:rPr>
          <w:sz w:val="20"/>
          <w:szCs w:val="20"/>
          <w:color w:val="auto"/>
        </w:rPr>
      </w:pPr>
      <w:r>
        <w:rPr>
          <w:rFonts w:ascii="Arial" w:cs="Arial" w:eastAsia="Arial" w:hAnsi="Arial"/>
          <w:sz w:val="18"/>
          <w:szCs w:val="18"/>
          <w:color w:val="auto"/>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spacing w:after="0" w:line="137" w:lineRule="exact"/>
        <w:rPr>
          <w:sz w:val="20"/>
          <w:szCs w:val="20"/>
          <w:color w:val="auto"/>
        </w:rPr>
      </w:pPr>
    </w:p>
    <w:p>
      <w:pPr>
        <w:ind w:left="1" w:right="20"/>
        <w:spacing w:after="0" w:line="236" w:lineRule="auto"/>
        <w:rPr>
          <w:sz w:val="20"/>
          <w:szCs w:val="20"/>
          <w:color w:val="auto"/>
        </w:rPr>
      </w:pPr>
      <w:r>
        <w:rPr>
          <w:rFonts w:ascii="Arial" w:cs="Arial" w:eastAsia="Arial" w:hAnsi="Arial"/>
          <w:sz w:val="18"/>
          <w:szCs w:val="18"/>
          <w:color w:val="auto"/>
        </w:rPr>
        <w:t>The following summarizes the payments that the NEOs would have received if their employment had terminated on December 31, 2021.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NEOs would receive the following average annual earnings payments over such 10-year period: Mr. Gonzalez, $899,304; Ms. Schumacher, $1,239,727; Dr. Severino, $560,903; and Mr. Stewart, $367,264. In addition, the following one-time deposits would have been made under the AbbVie Supplemental Pension Plan for each of the following NEOs, respectively: Mr. Gonzalez, $0; Mr. Michael, $ 1,914,740; Ms. Schumacher, $1,510,729; Dr. Severino, $434,822; and Mr. Stewart, $1,539,761. As of December 31, 2021, Mr. Gonzalez, Mr. Michael, Ms. Schumacher and Mr. Stewart were eligible to retire, and therefore were eligible to receive the pension benefits previously described.</w:t>
      </w:r>
    </w:p>
    <w:p>
      <w:pPr>
        <w:spacing w:after="0" w:line="124" w:lineRule="exact"/>
        <w:rPr>
          <w:sz w:val="20"/>
          <w:szCs w:val="20"/>
          <w:color w:val="auto"/>
        </w:rPr>
      </w:pPr>
    </w:p>
    <w:p>
      <w:pPr>
        <w:ind w:left="1" w:right="220"/>
        <w:spacing w:after="0" w:line="234" w:lineRule="auto"/>
        <w:rPr>
          <w:sz w:val="20"/>
          <w:szCs w:val="20"/>
          <w:color w:val="auto"/>
        </w:rPr>
      </w:pPr>
      <w:r>
        <w:rPr>
          <w:rFonts w:ascii="Arial" w:cs="Arial" w:eastAsia="Arial" w:hAnsi="Arial"/>
          <w:sz w:val="18"/>
          <w:szCs w:val="18"/>
          <w:color w:val="auto"/>
        </w:rPr>
        <w:t>If the termination of employment had been due to disability, then the respective NEO also would have received, in addition to AbbVie’s standard disability benefits, a monthly long-term disability benefit in the following amount: Mr. Gonzalez, $245,438; Mr. Michael, $131,500; Ms. Schumacher, $131,943; Dr. Severino, $135,000; and</w:t>
      </w:r>
    </w:p>
    <w:p>
      <w:pPr>
        <w:spacing w:after="0" w:line="2" w:lineRule="exact"/>
        <w:rPr>
          <w:sz w:val="20"/>
          <w:szCs w:val="20"/>
          <w:color w:val="auto"/>
        </w:rPr>
      </w:pPr>
    </w:p>
    <w:p>
      <w:pPr>
        <w:ind w:left="1" w:right="160"/>
        <w:spacing w:after="0" w:line="246" w:lineRule="auto"/>
        <w:rPr>
          <w:sz w:val="20"/>
          <w:szCs w:val="20"/>
          <w:color w:val="auto"/>
        </w:rPr>
      </w:pPr>
      <w:r>
        <w:rPr>
          <w:rFonts w:ascii="Arial" w:cs="Arial" w:eastAsia="Arial" w:hAnsi="Arial"/>
          <w:sz w:val="18"/>
          <w:szCs w:val="18"/>
          <w:color w:val="auto"/>
        </w:rPr>
        <w:t>Mr. Stewart, $102,500. This long-term disability benefit would continue for up to 24 months following termination of employment. It ends if the NEO retires, recovers, dies or ceases to meet eligibility criteria.</w:t>
      </w:r>
    </w:p>
    <w:p>
      <w:pPr>
        <w:spacing w:after="0" w:line="197" w:lineRule="exact"/>
        <w:rPr>
          <w:sz w:val="20"/>
          <w:szCs w:val="20"/>
          <w:color w:val="auto"/>
        </w:rPr>
      </w:pPr>
    </w:p>
    <w:p>
      <w:pPr>
        <w:ind w:left="1" w:right="340"/>
        <w:spacing w:after="0"/>
        <w:rPr>
          <w:sz w:val="20"/>
          <w:szCs w:val="20"/>
          <w:color w:val="auto"/>
        </w:rPr>
      </w:pPr>
      <w:r>
        <w:rPr>
          <w:rFonts w:ascii="Arial" w:cs="Arial" w:eastAsia="Arial" w:hAnsi="Arial"/>
          <w:sz w:val="18"/>
          <w:szCs w:val="18"/>
          <w:color w:val="auto"/>
        </w:rPr>
        <w:t>If the NEO’s employment had terminated due to death or disability, his or her unvested stock options, restricted stock or unit awards and performance shares would have vested on December 31, 2021 with values as set forth below in the subsection of this proxy statement captioned “Equity Awards.”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874395" cy="1625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65" w:name="page66"/>
    <w:bookmarkEnd w:id="65"/>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EXECUTIVE COMPENSATION</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POTENTIAL PAYMENTS UPON CHANGE IN CONTROL</w:t>
      </w:r>
    </w:p>
    <w:p>
      <w:pPr>
        <w:spacing w:after="0" w:line="193" w:lineRule="exact"/>
        <w:rPr>
          <w:sz w:val="20"/>
          <w:szCs w:val="20"/>
          <w:color w:val="auto"/>
        </w:rPr>
      </w:pPr>
    </w:p>
    <w:p>
      <w:pPr>
        <w:ind w:left="1" w:right="20"/>
        <w:spacing w:after="0" w:line="236" w:lineRule="auto"/>
        <w:rPr>
          <w:sz w:val="20"/>
          <w:szCs w:val="20"/>
          <w:color w:val="auto"/>
        </w:rPr>
      </w:pPr>
      <w:r>
        <w:rPr>
          <w:rFonts w:ascii="Arial" w:cs="Arial" w:eastAsia="Arial" w:hAnsi="Arial"/>
          <w:sz w:val="18"/>
          <w:szCs w:val="18"/>
          <w:color w:val="auto"/>
        </w:rPr>
        <w:t>AbbVie has entered into change in control agreements with its NEOs. Each change in control agreement continues in effect until December 31, 2022, and can be renewed for successive two-year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NEOs do not and will not provide for a cash lump sum payment in excess of three times an NEO’s annual salary and bonus.</w:t>
      </w:r>
    </w:p>
    <w:p>
      <w:pPr>
        <w:spacing w:after="0" w:line="208" w:lineRule="exact"/>
        <w:rPr>
          <w:sz w:val="20"/>
          <w:szCs w:val="20"/>
          <w:color w:val="auto"/>
        </w:rPr>
      </w:pPr>
    </w:p>
    <w:p>
      <w:pPr>
        <w:ind w:left="1" w:right="20"/>
        <w:spacing w:after="0" w:line="235" w:lineRule="auto"/>
        <w:rPr>
          <w:sz w:val="20"/>
          <w:szCs w:val="20"/>
          <w:color w:val="auto"/>
        </w:rPr>
      </w:pPr>
      <w:r>
        <w:rPr>
          <w:rFonts w:ascii="Arial" w:cs="Arial" w:eastAsia="Arial" w:hAnsi="Arial"/>
          <w:sz w:val="18"/>
          <w:szCs w:val="18"/>
          <w:color w:val="auto"/>
        </w:rPr>
        <w:t>The agreements provide that if the employee is terminated other than for cause or permanent disability or if the employee elects to terminate employment for good reason (see below) within two years following a change in control, he or she is entitled to receive a lump sum payment equal to three times his or her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or if the employee elects to terminate employment for good reason during a potential change in control (see below), he or she is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officer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spacing w:after="0" w:line="213" w:lineRule="exact"/>
        <w:rPr>
          <w:sz w:val="20"/>
          <w:szCs w:val="20"/>
          <w:color w:val="auto"/>
        </w:rPr>
      </w:pPr>
    </w:p>
    <w:p>
      <w:pPr>
        <w:ind w:left="1" w:right="40"/>
        <w:spacing w:after="0" w:line="236" w:lineRule="auto"/>
        <w:rPr>
          <w:sz w:val="20"/>
          <w:szCs w:val="20"/>
          <w:color w:val="auto"/>
        </w:rPr>
      </w:pPr>
      <w:r>
        <w:rPr>
          <w:rFonts w:ascii="Arial" w:cs="Arial" w:eastAsia="Arial" w:hAnsi="Arial"/>
          <w:sz w:val="18"/>
          <w:szCs w:val="18"/>
          <w:color w:val="auto"/>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w:t>
      </w:r>
    </w:p>
    <w:p>
      <w:pPr>
        <w:spacing w:after="0" w:line="208" w:lineRule="exact"/>
        <w:rPr>
          <w:sz w:val="20"/>
          <w:szCs w:val="20"/>
          <w:color w:val="auto"/>
        </w:rPr>
      </w:pPr>
    </w:p>
    <w:p>
      <w:pPr>
        <w:ind w:left="1" w:right="60"/>
        <w:spacing w:after="0" w:line="236" w:lineRule="auto"/>
        <w:rPr>
          <w:sz w:val="20"/>
          <w:szCs w:val="20"/>
          <w:color w:val="auto"/>
        </w:rPr>
      </w:pPr>
      <w:r>
        <w:rPr>
          <w:rFonts w:ascii="Arial" w:cs="Arial" w:eastAsia="Arial" w:hAnsi="Arial"/>
          <w:sz w:val="18"/>
          <w:szCs w:val="18"/>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spacing w:after="0" w:line="192" w:lineRule="exact"/>
        <w:rPr>
          <w:sz w:val="20"/>
          <w:szCs w:val="20"/>
          <w:color w:val="auto"/>
        </w:rPr>
      </w:pPr>
    </w:p>
    <w:p>
      <w:pPr>
        <w:ind w:left="1" w:right="160"/>
        <w:spacing w:after="0"/>
        <w:rPr>
          <w:sz w:val="20"/>
          <w:szCs w:val="20"/>
          <w:color w:val="auto"/>
        </w:rPr>
      </w:pPr>
      <w:r>
        <w:rPr>
          <w:rFonts w:ascii="Arial" w:cs="Arial" w:eastAsia="Arial" w:hAnsi="Arial"/>
          <w:sz w:val="18"/>
          <w:szCs w:val="18"/>
          <w:color w:val="auto"/>
        </w:rPr>
        <w:t>If a change in control had occurred on December 31, 2021, immediately followed by one of the covered circumstances described above, Mr. Gonzalez, Mr. Michael, Ms. Schumacher, Dr. Severino, and Mr. Stewart would have been entitled to receive the following payments and benefits under the change in control agreements:</w:t>
      </w:r>
    </w:p>
    <w:p>
      <w:pPr>
        <w:spacing w:after="0" w:line="176" w:lineRule="exact"/>
        <w:rPr>
          <w:sz w:val="20"/>
          <w:szCs w:val="20"/>
          <w:color w:val="auto"/>
        </w:rPr>
      </w:pPr>
    </w:p>
    <w:p>
      <w:pPr>
        <w:ind w:left="321" w:right="460" w:hanging="321"/>
        <w:spacing w:after="0" w:line="246" w:lineRule="auto"/>
        <w:tabs>
          <w:tab w:leader="none" w:pos="321" w:val="left"/>
        </w:tabs>
        <w:numPr>
          <w:ilvl w:val="0"/>
          <w:numId w:val="75"/>
        </w:numPr>
        <w:rPr>
          <w:rFonts w:ascii="Arial" w:cs="Arial" w:eastAsia="Arial" w:hAnsi="Arial"/>
          <w:sz w:val="18"/>
          <w:szCs w:val="18"/>
          <w:color w:val="071D49"/>
        </w:rPr>
      </w:pPr>
      <w:r>
        <w:rPr>
          <w:rFonts w:ascii="Arial" w:cs="Arial" w:eastAsia="Arial" w:hAnsi="Arial"/>
          <w:sz w:val="18"/>
          <w:szCs w:val="18"/>
          <w:color w:val="auto"/>
        </w:rPr>
        <w:t>Mr. Gonzalez: cash termination payments—$18,241,875; additional Supplemental Pension Plan benefits— $1,478,833; welfare and fringe benefits—$83,346.</w:t>
      </w:r>
    </w:p>
    <w:p>
      <w:pPr>
        <w:spacing w:after="0" w:line="200" w:lineRule="exact"/>
        <w:rPr>
          <w:sz w:val="20"/>
          <w:szCs w:val="20"/>
          <w:color w:val="auto"/>
        </w:rPr>
      </w:pP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66" w:name="page67"/>
    <w:bookmarkEnd w:id="6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EXECUTIVE COMPENSATION</w:t>
      </w:r>
    </w:p>
    <w:p>
      <w:pPr>
        <w:spacing w:after="0" w:line="198" w:lineRule="exact"/>
        <w:rPr>
          <w:sz w:val="20"/>
          <w:szCs w:val="20"/>
          <w:color w:val="auto"/>
        </w:rPr>
      </w:pPr>
    </w:p>
    <w:p>
      <w:pPr>
        <w:ind w:left="321" w:right="680" w:hanging="321"/>
        <w:spacing w:after="0" w:line="234" w:lineRule="auto"/>
        <w:tabs>
          <w:tab w:leader="none" w:pos="321" w:val="left"/>
        </w:tabs>
        <w:numPr>
          <w:ilvl w:val="0"/>
          <w:numId w:val="76"/>
        </w:numPr>
        <w:rPr>
          <w:rFonts w:ascii="Arial" w:cs="Arial" w:eastAsia="Arial" w:hAnsi="Arial"/>
          <w:sz w:val="18"/>
          <w:szCs w:val="18"/>
          <w:color w:val="071D49"/>
        </w:rPr>
      </w:pPr>
      <w:r>
        <w:rPr>
          <w:rFonts w:ascii="Arial" w:cs="Arial" w:eastAsia="Arial" w:hAnsi="Arial"/>
          <w:sz w:val="18"/>
          <w:szCs w:val="18"/>
          <w:color w:val="auto"/>
        </w:rPr>
        <w:t>Mr. Michael: cash termination payments—$8,775,000; additional Supplemental Pension Plan benefits— $5,058,394; welfare and fringe benefits—$86,643.</w:t>
      </w:r>
    </w:p>
    <w:p>
      <w:pPr>
        <w:spacing w:after="0" w:line="1" w:lineRule="exact"/>
        <w:rPr>
          <w:rFonts w:ascii="Arial" w:cs="Arial" w:eastAsia="Arial" w:hAnsi="Arial"/>
          <w:sz w:val="18"/>
          <w:szCs w:val="18"/>
          <w:color w:val="071D49"/>
        </w:rPr>
      </w:pPr>
    </w:p>
    <w:p>
      <w:pPr>
        <w:ind w:left="321" w:right="140" w:hanging="321"/>
        <w:spacing w:after="0" w:line="234" w:lineRule="auto"/>
        <w:tabs>
          <w:tab w:leader="none" w:pos="321" w:val="left"/>
        </w:tabs>
        <w:numPr>
          <w:ilvl w:val="0"/>
          <w:numId w:val="76"/>
        </w:numPr>
        <w:rPr>
          <w:rFonts w:ascii="Arial" w:cs="Arial" w:eastAsia="Arial" w:hAnsi="Arial"/>
          <w:sz w:val="18"/>
          <w:szCs w:val="18"/>
          <w:color w:val="071D49"/>
        </w:rPr>
      </w:pPr>
      <w:r>
        <w:rPr>
          <w:rFonts w:ascii="Arial" w:cs="Arial" w:eastAsia="Arial" w:hAnsi="Arial"/>
          <w:sz w:val="18"/>
          <w:szCs w:val="18"/>
          <w:color w:val="auto"/>
        </w:rPr>
        <w:t>Ms. Schumacher: cash termination payments—$10,674,379; additional Supplemental Pension Plan benefits— $2,849,857; welfare and fringe benefits—$69,720.</w:t>
      </w:r>
    </w:p>
    <w:p>
      <w:pPr>
        <w:spacing w:after="0" w:line="1" w:lineRule="exact"/>
        <w:rPr>
          <w:rFonts w:ascii="Arial" w:cs="Arial" w:eastAsia="Arial" w:hAnsi="Arial"/>
          <w:sz w:val="18"/>
          <w:szCs w:val="18"/>
          <w:color w:val="071D49"/>
        </w:rPr>
      </w:pPr>
    </w:p>
    <w:p>
      <w:pPr>
        <w:ind w:left="321" w:right="500" w:hanging="321"/>
        <w:spacing w:after="0" w:line="234" w:lineRule="auto"/>
        <w:tabs>
          <w:tab w:leader="none" w:pos="321" w:val="left"/>
        </w:tabs>
        <w:numPr>
          <w:ilvl w:val="0"/>
          <w:numId w:val="76"/>
        </w:numPr>
        <w:rPr>
          <w:rFonts w:ascii="Arial" w:cs="Arial" w:eastAsia="Arial" w:hAnsi="Arial"/>
          <w:sz w:val="18"/>
          <w:szCs w:val="18"/>
          <w:color w:val="071D49"/>
        </w:rPr>
      </w:pPr>
      <w:r>
        <w:rPr>
          <w:rFonts w:ascii="Arial" w:cs="Arial" w:eastAsia="Arial" w:hAnsi="Arial"/>
          <w:sz w:val="18"/>
          <w:szCs w:val="18"/>
          <w:color w:val="auto"/>
        </w:rPr>
        <w:t>Dr. Severino: cash termination payments—$11,179,940; additional Supplemental Pension Plan benefits— $5,578,246; welfare and fringe benefits—$86,948.</w:t>
      </w:r>
    </w:p>
    <w:p>
      <w:pPr>
        <w:spacing w:after="0" w:line="1" w:lineRule="exact"/>
        <w:rPr>
          <w:rFonts w:ascii="Arial" w:cs="Arial" w:eastAsia="Arial" w:hAnsi="Arial"/>
          <w:sz w:val="18"/>
          <w:szCs w:val="18"/>
          <w:color w:val="071D49"/>
        </w:rPr>
      </w:pPr>
    </w:p>
    <w:p>
      <w:pPr>
        <w:ind w:left="321" w:right="680" w:hanging="321"/>
        <w:spacing w:after="0" w:line="246" w:lineRule="auto"/>
        <w:tabs>
          <w:tab w:leader="none" w:pos="321" w:val="left"/>
        </w:tabs>
        <w:numPr>
          <w:ilvl w:val="0"/>
          <w:numId w:val="76"/>
        </w:numPr>
        <w:rPr>
          <w:rFonts w:ascii="Arial" w:cs="Arial" w:eastAsia="Arial" w:hAnsi="Arial"/>
          <w:sz w:val="18"/>
          <w:szCs w:val="18"/>
          <w:color w:val="071D49"/>
        </w:rPr>
      </w:pPr>
      <w:r>
        <w:rPr>
          <w:rFonts w:ascii="Arial" w:cs="Arial" w:eastAsia="Arial" w:hAnsi="Arial"/>
          <w:sz w:val="18"/>
          <w:szCs w:val="18"/>
          <w:color w:val="auto"/>
        </w:rPr>
        <w:t>Mr. Stewart: cash termination payments—$6,813,450; additional Supplemental Pension Plan benefits— $7,367,493; welfare and fringe benefits—$85,802.</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EQUITY AWARDS</w:t>
      </w:r>
    </w:p>
    <w:p>
      <w:pPr>
        <w:spacing w:after="0" w:line="193" w:lineRule="exact"/>
        <w:rPr>
          <w:sz w:val="20"/>
          <w:szCs w:val="20"/>
          <w:color w:val="auto"/>
        </w:rPr>
      </w:pPr>
    </w:p>
    <w:p>
      <w:pPr>
        <w:ind w:left="1" w:right="320"/>
        <w:spacing w:after="0" w:line="246" w:lineRule="auto"/>
        <w:rPr>
          <w:sz w:val="20"/>
          <w:szCs w:val="20"/>
          <w:color w:val="auto"/>
        </w:rPr>
      </w:pPr>
      <w:r>
        <w:rPr>
          <w:rFonts w:ascii="Arial" w:cs="Arial" w:eastAsia="Arial" w:hAnsi="Arial"/>
          <w:sz w:val="18"/>
          <w:szCs w:val="18"/>
          <w:color w:val="auto"/>
        </w:rPr>
        <w:t>The AbbVie Amended and Restated 2013 Incentive Stock Program was approved by AbbVie’s stockholders and covers approximately 9,000 participants, including a broad group of management and professional staff.</w:t>
      </w:r>
    </w:p>
    <w:p>
      <w:pPr>
        <w:spacing w:after="0" w:line="197" w:lineRule="exact"/>
        <w:rPr>
          <w:sz w:val="20"/>
          <w:szCs w:val="20"/>
          <w:color w:val="auto"/>
        </w:rPr>
      </w:pPr>
    </w:p>
    <w:p>
      <w:pPr>
        <w:ind w:left="1" w:right="20"/>
        <w:spacing w:after="0" w:line="236" w:lineRule="auto"/>
        <w:rPr>
          <w:sz w:val="20"/>
          <w:szCs w:val="20"/>
          <w:color w:val="auto"/>
        </w:rPr>
      </w:pPr>
      <w:r>
        <w:rPr>
          <w:rFonts w:ascii="Arial" w:cs="Arial" w:eastAsia="Arial" w:hAnsi="Arial"/>
          <w:sz w:val="18"/>
          <w:szCs w:val="18"/>
          <w:color w:val="auto"/>
        </w:rPr>
        <w:t>The AbbVie Amended and Restated 2013 Incentive Stock Program provides that any unvested equity awards granted in or after January 2013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208" w:lineRule="exact"/>
        <w:rPr>
          <w:sz w:val="20"/>
          <w:szCs w:val="20"/>
          <w:color w:val="auto"/>
        </w:rPr>
      </w:pPr>
    </w:p>
    <w:p>
      <w:pPr>
        <w:ind w:left="1" w:right="20"/>
        <w:spacing w:after="0" w:line="238" w:lineRule="auto"/>
        <w:rPr>
          <w:sz w:val="20"/>
          <w:szCs w:val="20"/>
          <w:color w:val="auto"/>
        </w:rPr>
      </w:pPr>
      <w:r>
        <w:rPr>
          <w:rFonts w:ascii="Arial" w:cs="Arial" w:eastAsia="Arial" w:hAnsi="Arial"/>
          <w:sz w:val="18"/>
          <w:szCs w:val="18"/>
          <w:color w:val="auto"/>
        </w:rPr>
        <w:t>If a change in control had occurred on December 31, 2021 and the surviving company did not assume, convert or replace any of the awards granted in or after January 2013, or the NEO’s employment had terminated without cause or he or she had resigned for good reason, as described above, then the unvested equity awards of the NEOs would have vested as follows:</w:t>
      </w:r>
    </w:p>
    <w:p>
      <w:pPr>
        <w:spacing w:after="0" w:line="200" w:lineRule="exact"/>
        <w:rPr>
          <w:sz w:val="20"/>
          <w:szCs w:val="20"/>
          <w:color w:val="auto"/>
        </w:rPr>
      </w:pPr>
    </w:p>
    <w:p>
      <w:pPr>
        <w:ind w:left="321" w:hanging="321"/>
        <w:spacing w:after="0"/>
        <w:tabs>
          <w:tab w:leader="none" w:pos="321" w:val="left"/>
        </w:tabs>
        <w:numPr>
          <w:ilvl w:val="0"/>
          <w:numId w:val="77"/>
        </w:numPr>
        <w:rPr>
          <w:rFonts w:ascii="Arial" w:cs="Arial" w:eastAsia="Arial" w:hAnsi="Arial"/>
          <w:sz w:val="18"/>
          <w:szCs w:val="18"/>
          <w:color w:val="071D49"/>
        </w:rPr>
      </w:pPr>
      <w:r>
        <w:rPr>
          <w:rFonts w:ascii="Arial" w:cs="Arial" w:eastAsia="Arial" w:hAnsi="Arial"/>
          <w:sz w:val="18"/>
          <w:szCs w:val="18"/>
          <w:color w:val="auto"/>
        </w:rPr>
        <w:t>Mr. Gonzalez would have vested in (i) 405,009 unvested AbbVie stock options with a value of $15,443,040,</w:t>
      </w:r>
    </w:p>
    <w:p>
      <w:pPr>
        <w:ind w:left="321" w:right="380" w:firstLine="3"/>
        <w:spacing w:after="0" w:line="234" w:lineRule="auto"/>
        <w:tabs>
          <w:tab w:leader="none" w:pos="5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157,175 AbbVie restricted stock units with a value of $21,281,495, and (iii) 418,251 AbbVie performance shares with a value of $56,631,131.</w:t>
      </w:r>
    </w:p>
    <w:p>
      <w:pPr>
        <w:spacing w:after="0" w:line="1" w:lineRule="exact"/>
        <w:rPr>
          <w:rFonts w:ascii="Arial" w:cs="Arial" w:eastAsia="Arial" w:hAnsi="Arial"/>
          <w:sz w:val="18"/>
          <w:szCs w:val="18"/>
          <w:color w:val="auto"/>
        </w:rPr>
      </w:pPr>
    </w:p>
    <w:p>
      <w:pPr>
        <w:ind w:left="321" w:hanging="321"/>
        <w:spacing w:after="0" w:line="234" w:lineRule="auto"/>
        <w:tabs>
          <w:tab w:leader="none" w:pos="321" w:val="left"/>
        </w:tabs>
        <w:numPr>
          <w:ilvl w:val="0"/>
          <w:numId w:val="77"/>
        </w:numPr>
        <w:rPr>
          <w:rFonts w:ascii="Arial" w:cs="Arial" w:eastAsia="Arial" w:hAnsi="Arial"/>
          <w:sz w:val="18"/>
          <w:szCs w:val="18"/>
          <w:color w:val="071D49"/>
        </w:rPr>
      </w:pPr>
      <w:r>
        <w:rPr>
          <w:rFonts w:ascii="Arial" w:cs="Arial" w:eastAsia="Arial" w:hAnsi="Arial"/>
          <w:sz w:val="18"/>
          <w:szCs w:val="18"/>
          <w:color w:val="auto"/>
        </w:rPr>
        <w:t>Mr. Michael would have vested in (i) 154,310 unvested AbbVie stock options with a value of $5,918,725,</w:t>
      </w:r>
    </w:p>
    <w:p>
      <w:pPr>
        <w:ind w:left="321" w:right="580" w:firstLine="3"/>
        <w:spacing w:after="0" w:line="234" w:lineRule="auto"/>
        <w:tabs>
          <w:tab w:leader="none" w:pos="5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59,130 AbbVie restricted stock units with a value of $8,006,202, and (iii) 155,866 AbbVie performance shares with a value of $21,104,311.</w:t>
      </w:r>
    </w:p>
    <w:p>
      <w:pPr>
        <w:spacing w:after="0" w:line="1" w:lineRule="exact"/>
        <w:rPr>
          <w:rFonts w:ascii="Arial" w:cs="Arial" w:eastAsia="Arial" w:hAnsi="Arial"/>
          <w:sz w:val="18"/>
          <w:szCs w:val="18"/>
          <w:color w:val="auto"/>
        </w:rPr>
      </w:pPr>
    </w:p>
    <w:p>
      <w:pPr>
        <w:ind w:left="321" w:hanging="321"/>
        <w:spacing w:after="0" w:line="234" w:lineRule="auto"/>
        <w:tabs>
          <w:tab w:leader="none" w:pos="321" w:val="left"/>
        </w:tabs>
        <w:numPr>
          <w:ilvl w:val="0"/>
          <w:numId w:val="77"/>
        </w:numPr>
        <w:rPr>
          <w:rFonts w:ascii="Arial" w:cs="Arial" w:eastAsia="Arial" w:hAnsi="Arial"/>
          <w:sz w:val="18"/>
          <w:szCs w:val="18"/>
          <w:color w:val="071D49"/>
        </w:rPr>
      </w:pPr>
      <w:r>
        <w:rPr>
          <w:rFonts w:ascii="Arial" w:cs="Arial" w:eastAsia="Arial" w:hAnsi="Arial"/>
          <w:sz w:val="18"/>
          <w:szCs w:val="18"/>
          <w:color w:val="auto"/>
        </w:rPr>
        <w:t>Ms. Schumacher would have vested in (i) 164,439 unvested AbbVie stock options with a value of $6,410,795,</w:t>
      </w:r>
    </w:p>
    <w:p>
      <w:pPr>
        <w:ind w:left="321" w:right="40" w:firstLine="3"/>
        <w:spacing w:after="0" w:line="234" w:lineRule="auto"/>
        <w:tabs>
          <w:tab w:leader="none" w:pos="5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63,369 AbbVie restricted stock units with a value of $8,580,196 and (iii) 171,690 AbbVie performance shares with a value of $23,246,880.</w:t>
      </w:r>
    </w:p>
    <w:p>
      <w:pPr>
        <w:spacing w:after="0" w:line="1" w:lineRule="exact"/>
        <w:rPr>
          <w:rFonts w:ascii="Arial" w:cs="Arial" w:eastAsia="Arial" w:hAnsi="Arial"/>
          <w:sz w:val="18"/>
          <w:szCs w:val="18"/>
          <w:color w:val="auto"/>
        </w:rPr>
      </w:pPr>
    </w:p>
    <w:p>
      <w:pPr>
        <w:ind w:left="321" w:hanging="321"/>
        <w:spacing w:after="0" w:line="234" w:lineRule="auto"/>
        <w:tabs>
          <w:tab w:leader="none" w:pos="321" w:val="left"/>
        </w:tabs>
        <w:numPr>
          <w:ilvl w:val="0"/>
          <w:numId w:val="77"/>
        </w:numPr>
        <w:rPr>
          <w:rFonts w:ascii="Arial" w:cs="Arial" w:eastAsia="Arial" w:hAnsi="Arial"/>
          <w:sz w:val="18"/>
          <w:szCs w:val="18"/>
          <w:color w:val="071D49"/>
        </w:rPr>
      </w:pPr>
      <w:r>
        <w:rPr>
          <w:rFonts w:ascii="Arial" w:cs="Arial" w:eastAsia="Arial" w:hAnsi="Arial"/>
          <w:sz w:val="18"/>
          <w:szCs w:val="18"/>
          <w:color w:val="auto"/>
        </w:rPr>
        <w:t>Dr. Severino would have vested in (i) 163,089 unvested AbbVie stock options with a value of $6,334,682,</w:t>
      </w:r>
    </w:p>
    <w:p>
      <w:pPr>
        <w:ind w:left="321" w:right="580" w:firstLine="3"/>
        <w:spacing w:after="0" w:line="234" w:lineRule="auto"/>
        <w:tabs>
          <w:tab w:leader="none" w:pos="5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62,711 AbbVie restricted stock units with a value of $8,491,036, and (iii) 168,664 AbbVie performance shares with a value of $22,837,051.</w:t>
      </w:r>
    </w:p>
    <w:p>
      <w:pPr>
        <w:spacing w:after="0" w:line="1" w:lineRule="exact"/>
        <w:rPr>
          <w:rFonts w:ascii="Arial" w:cs="Arial" w:eastAsia="Arial" w:hAnsi="Arial"/>
          <w:sz w:val="18"/>
          <w:szCs w:val="18"/>
          <w:color w:val="auto"/>
        </w:rPr>
      </w:pPr>
    </w:p>
    <w:p>
      <w:pPr>
        <w:ind w:left="321" w:hanging="321"/>
        <w:spacing w:after="0" w:line="234" w:lineRule="auto"/>
        <w:tabs>
          <w:tab w:leader="none" w:pos="321" w:val="left"/>
        </w:tabs>
        <w:numPr>
          <w:ilvl w:val="0"/>
          <w:numId w:val="77"/>
        </w:numPr>
        <w:rPr>
          <w:rFonts w:ascii="Arial" w:cs="Arial" w:eastAsia="Arial" w:hAnsi="Arial"/>
          <w:sz w:val="18"/>
          <w:szCs w:val="18"/>
          <w:color w:val="071D49"/>
        </w:rPr>
      </w:pPr>
      <w:r>
        <w:rPr>
          <w:rFonts w:ascii="Arial" w:cs="Arial" w:eastAsia="Arial" w:hAnsi="Arial"/>
          <w:sz w:val="18"/>
          <w:szCs w:val="18"/>
          <w:color w:val="auto"/>
        </w:rPr>
        <w:t>Mr. Stewart would have vested in (i) 84,777 unvested AbbVie stock options with a value of $3,136,209,</w:t>
      </w:r>
    </w:p>
    <w:p>
      <w:pPr>
        <w:ind w:left="321" w:right="580" w:firstLine="3"/>
        <w:spacing w:after="0" w:line="246" w:lineRule="auto"/>
        <w:tabs>
          <w:tab w:leader="none" w:pos="571" w:val="left"/>
        </w:tabs>
        <w:numPr>
          <w:ilvl w:val="1"/>
          <w:numId w:val="77"/>
        </w:numPr>
        <w:rPr>
          <w:rFonts w:ascii="Arial" w:cs="Arial" w:eastAsia="Arial" w:hAnsi="Arial"/>
          <w:sz w:val="18"/>
          <w:szCs w:val="18"/>
          <w:color w:val="auto"/>
        </w:rPr>
      </w:pPr>
      <w:r>
        <w:rPr>
          <w:rFonts w:ascii="Arial" w:cs="Arial" w:eastAsia="Arial" w:hAnsi="Arial"/>
          <w:sz w:val="18"/>
          <w:szCs w:val="18"/>
          <w:color w:val="auto"/>
        </w:rPr>
        <w:t>54,096 AbbVie restricted stock units with a value of $7,324,531, and (iii) 151,835 AbbVie performance shares with a value of $20,558,391.</w:t>
      </w:r>
    </w:p>
    <w:p>
      <w:pPr>
        <w:spacing w:after="0" w:line="183" w:lineRule="exact"/>
        <w:rPr>
          <w:sz w:val="20"/>
          <w:szCs w:val="20"/>
          <w:color w:val="auto"/>
        </w:rPr>
      </w:pPr>
    </w:p>
    <w:p>
      <w:pPr>
        <w:ind w:left="1"/>
        <w:spacing w:after="0" w:line="238" w:lineRule="auto"/>
        <w:rPr>
          <w:sz w:val="20"/>
          <w:szCs w:val="20"/>
          <w:color w:val="auto"/>
        </w:rPr>
      </w:pPr>
      <w:r>
        <w:rPr>
          <w:rFonts w:ascii="Arial" w:cs="Arial" w:eastAsia="Arial" w:hAnsi="Arial"/>
          <w:sz w:val="18"/>
          <w:szCs w:val="18"/>
          <w:color w:val="auto"/>
        </w:rPr>
        <w:t>The value of stock options shown is based on the excess of the closing price of one share of common stock on December 31, 2021 over the exercise price of such options, multiplied by the number of unvested stock options held by the NEO. The value of restricted stock units and performance shares shown is determined by multiplying the number of units or shares that would vest as of December 31, 2021 in accordance with the applicable equity award agreement terms and the closing price of one share of common stock on December 31, 2021.</w:t>
      </w:r>
    </w:p>
    <w:p>
      <w:pPr>
        <w:spacing w:after="0" w:line="200" w:lineRule="exact"/>
        <w:rPr>
          <w:sz w:val="20"/>
          <w:szCs w:val="20"/>
          <w:color w:val="auto"/>
        </w:rPr>
      </w:pPr>
    </w:p>
    <w:p>
      <w:pPr>
        <w:spacing w:after="0" w:line="218"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874395" cy="1625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right="100"/>
        <w:spacing w:after="0" w:line="248" w:lineRule="auto"/>
        <w:rPr>
          <w:sz w:val="20"/>
          <w:szCs w:val="20"/>
          <w:color w:val="auto"/>
        </w:rPr>
      </w:pPr>
      <w:r>
        <w:rPr>
          <w:rFonts w:ascii="Arial" w:cs="Arial" w:eastAsia="Arial" w:hAnsi="Arial"/>
          <w:sz w:val="36"/>
          <w:szCs w:val="36"/>
          <w:color w:val="071D49"/>
        </w:rPr>
        <w:t>RATIFICATION OF ERNST &amp; YOUNG LLP AS ABBVIE’S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88073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154940</wp:posOffset>
            </wp:positionV>
            <wp:extent cx="5906135" cy="12433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06135" cy="124333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40"/>
        <w:spacing w:after="0" w:line="261" w:lineRule="auto"/>
        <w:rPr>
          <w:sz w:val="20"/>
          <w:szCs w:val="20"/>
          <w:color w:val="auto"/>
        </w:rPr>
      </w:pPr>
      <w:r>
        <w:rPr>
          <w:rFonts w:ascii="Arial" w:cs="Arial" w:eastAsia="Arial" w:hAnsi="Arial"/>
          <w:sz w:val="25"/>
          <w:szCs w:val="25"/>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i w:val="1"/>
          <w:iCs w:val="1"/>
          <w:color w:val="auto"/>
        </w:rPr>
        <w:t>You are being asked to ratify the appointment of Ernst &amp; Young LLP to perform independent audit services for the fiscal year ending December 31, 2022. Ernst &amp; Young LLP has served as our independent auditor since 2013. The board and the audit committee believe it is in the best interests of the company and its stockholders to retain Ernst &amp; Young LLP as the company’s independent auditor.</w:t>
      </w:r>
    </w:p>
    <w:p>
      <w:pPr>
        <w:spacing w:after="0" w:line="7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 xml:space="preserve">The board of directors therefore recommends you vote </w:t>
      </w:r>
      <w:r>
        <w:rPr>
          <w:rFonts w:ascii="Arial" w:cs="Arial" w:eastAsia="Arial" w:hAnsi="Arial"/>
          <w:sz w:val="18"/>
          <w:szCs w:val="18"/>
          <w:b w:val="1"/>
          <w:bCs w:val="1"/>
          <w:color w:val="auto"/>
        </w:rPr>
        <w:t>“FOR”</w:t>
      </w:r>
      <w:r>
        <w:rPr>
          <w:rFonts w:ascii="Arial" w:cs="Arial" w:eastAsia="Arial" w:hAnsi="Arial"/>
          <w:sz w:val="18"/>
          <w:szCs w:val="18"/>
          <w:b w:val="1"/>
          <w:bCs w:val="1"/>
          <w:i w:val="1"/>
          <w:iCs w:val="1"/>
          <w:color w:val="auto"/>
        </w:rPr>
        <w:t xml:space="preserve"> ratification of the appointment of Ernst &amp; Young LLP as AbbVie’s independent registered public accounting firm for 2022.</w:t>
      </w:r>
    </w:p>
    <w:p>
      <w:pPr>
        <w:spacing w:after="0" w:line="200" w:lineRule="exact"/>
        <w:rPr>
          <w:sz w:val="20"/>
          <w:szCs w:val="20"/>
          <w:color w:val="auto"/>
        </w:rPr>
      </w:pPr>
    </w:p>
    <w:p>
      <w:pPr>
        <w:sectPr>
          <w:pgSz w:w="11900" w:h="16838" w:orient="portrait"/>
          <w:cols w:equalWidth="0" w:num="2">
            <w:col w:w="1780" w:space="480"/>
            <w:col w:w="7000"/>
          </w:cols>
          <w:pgMar w:left="1320" w:top="530" w:right="1319" w:bottom="1440" w:gutter="0" w:footer="0" w:header="0"/>
          <w:type w:val="continuous"/>
        </w:sectPr>
      </w:pPr>
    </w:p>
    <w:p>
      <w:pPr>
        <w:spacing w:after="0" w:line="1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audit committee of the board of directors is directly responsible for the appointment, fees, retention and oversight of the independent registered public accounting firm retained to audit the company’s financial statements. On October 12, 2021, the audit committee appointed Ernst &amp; Young LLP (the independent auditor) to perform independent audit services for the fiscal year ending December 31, 2022.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Although the audit committee has sole authority to appoint the independent auditor, it would like to know the opinion of the stockholders regarding its appointment of Ernst &amp; Young LLP for 2022. For this reason, stockholders are being asked to ratify this appointment. If the stockholders do not ratify the appointment of Ernst &amp; Young LLP for 2022,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spacing w:after="0" w:line="205"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Representatives of Ernst &amp; Young LLP are expected to attend the Annual Meeting and will be given the opportunity to make a statement if they desire to do so. They will also be available to respond to appropriate questions.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68" w:name="page69"/>
    <w:bookmarkEnd w:id="68"/>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36"/>
          <w:szCs w:val="36"/>
          <w:color w:val="071D49"/>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588073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10"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071D49"/>
        </w:rPr>
        <w:t>Audit Fees and Non-Audit Fees</w:t>
      </w:r>
    </w:p>
    <w:p>
      <w:pPr>
        <w:spacing w:after="0" w:line="238" w:lineRule="exact"/>
        <w:rPr>
          <w:sz w:val="20"/>
          <w:szCs w:val="20"/>
          <w:color w:val="auto"/>
        </w:rPr>
      </w:pPr>
    </w:p>
    <w:p>
      <w:pPr>
        <w:ind w:left="1" w:right="220"/>
        <w:spacing w:after="0"/>
        <w:rPr>
          <w:sz w:val="20"/>
          <w:szCs w:val="20"/>
          <w:color w:val="auto"/>
        </w:rPr>
      </w:pPr>
      <w:r>
        <w:rPr>
          <w:rFonts w:ascii="Arial" w:cs="Arial" w:eastAsia="Arial" w:hAnsi="Arial"/>
          <w:sz w:val="18"/>
          <w:szCs w:val="18"/>
          <w:color w:val="auto"/>
        </w:rPr>
        <w:t>The following table presents fees for professional audit services rendered to AbbVie by Ernst &amp; Young LLP for the years ended December 31, 2021 and December 31, 2020, and fees for other services rendered to AbbVie by Ernst &amp; Young LLP for those periods.</w:t>
      </w:r>
    </w:p>
    <w:p>
      <w:pPr>
        <w:spacing w:after="0" w:line="204"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071D49"/>
              </w:rPr>
              <w:t>2021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71D49"/>
              </w:rPr>
              <w:t>2020</w:t>
            </w:r>
          </w:p>
        </w:tc>
      </w:tr>
      <w:tr>
        <w:trPr>
          <w:trHeight w:val="175"/>
        </w:trPr>
        <w:tc>
          <w:tcPr>
            <w:tcW w:w="2320" w:type="dxa"/>
            <w:vAlign w:val="bottom"/>
            <w:tcBorders>
              <w:bottom w:val="single" w:sz="8" w:color="071D49"/>
            </w:tcBorders>
          </w:tcPr>
          <w:p>
            <w:pPr>
              <w:spacing w:after="0"/>
              <w:rPr>
                <w:sz w:val="15"/>
                <w:szCs w:val="15"/>
                <w:color w:val="auto"/>
              </w:rPr>
            </w:pPr>
          </w:p>
        </w:tc>
        <w:tc>
          <w:tcPr>
            <w:tcW w:w="4880" w:type="dxa"/>
            <w:vAlign w:val="bottom"/>
            <w:tcBorders>
              <w:bottom w:val="single" w:sz="8" w:color="071D49"/>
            </w:tcBorders>
          </w:tcPr>
          <w:p>
            <w:pPr>
              <w:spacing w:after="0"/>
              <w:rPr>
                <w:sz w:val="15"/>
                <w:szCs w:val="15"/>
                <w:color w:val="auto"/>
              </w:rPr>
            </w:pPr>
          </w:p>
        </w:tc>
        <w:tc>
          <w:tcPr>
            <w:tcW w:w="920" w:type="dxa"/>
            <w:vAlign w:val="bottom"/>
            <w:tcBorders>
              <w:bottom w:val="single" w:sz="8" w:color="071D49"/>
            </w:tcBorders>
          </w:tcPr>
          <w:p>
            <w:pPr>
              <w:jc w:val="right"/>
              <w:ind w:right="75"/>
              <w:spacing w:after="0"/>
              <w:rPr>
                <w:sz w:val="20"/>
                <w:szCs w:val="20"/>
                <w:color w:val="auto"/>
              </w:rPr>
            </w:pPr>
            <w:r>
              <w:rPr>
                <w:rFonts w:ascii="Arial" w:cs="Arial" w:eastAsia="Arial" w:hAnsi="Arial"/>
                <w:sz w:val="14"/>
                <w:szCs w:val="14"/>
                <w:b w:val="1"/>
                <w:bCs w:val="1"/>
                <w:color w:val="071D49"/>
              </w:rPr>
              <w:t>(millions)</w:t>
            </w:r>
          </w:p>
        </w:tc>
        <w:tc>
          <w:tcPr>
            <w:tcW w:w="320" w:type="dxa"/>
            <w:vAlign w:val="bottom"/>
            <w:tcBorders>
              <w:bottom w:val="single" w:sz="8" w:color="071D49"/>
            </w:tcBorders>
          </w:tcPr>
          <w:p>
            <w:pPr>
              <w:spacing w:after="0"/>
              <w:rPr>
                <w:sz w:val="15"/>
                <w:szCs w:val="15"/>
                <w:color w:val="auto"/>
              </w:rPr>
            </w:pPr>
          </w:p>
        </w:tc>
        <w:tc>
          <w:tcPr>
            <w:tcW w:w="800" w:type="dxa"/>
            <w:vAlign w:val="bottom"/>
            <w:tcBorders>
              <w:bottom w:val="single" w:sz="8" w:color="071D49"/>
            </w:tcBorders>
          </w:tcPr>
          <w:p>
            <w:pPr>
              <w:jc w:val="right"/>
              <w:spacing w:after="0"/>
              <w:rPr>
                <w:sz w:val="20"/>
                <w:szCs w:val="20"/>
                <w:color w:val="auto"/>
              </w:rPr>
            </w:pPr>
            <w:r>
              <w:rPr>
                <w:rFonts w:ascii="Arial" w:cs="Arial" w:eastAsia="Arial" w:hAnsi="Arial"/>
                <w:sz w:val="14"/>
                <w:szCs w:val="14"/>
                <w:b w:val="1"/>
                <w:bCs w:val="1"/>
                <w:color w:val="071D49"/>
              </w:rPr>
              <w:t>(millions)</w:t>
            </w:r>
          </w:p>
        </w:tc>
      </w:tr>
      <w:tr>
        <w:trPr>
          <w:trHeight w:val="196"/>
        </w:trPr>
        <w:tc>
          <w:tcPr>
            <w:tcW w:w="2320" w:type="dxa"/>
            <w:vAlign w:val="bottom"/>
            <w:shd w:val="clear" w:color="auto" w:fill="D9D9D9"/>
          </w:tcPr>
          <w:p>
            <w:pPr>
              <w:spacing w:after="0" w:line="195" w:lineRule="exact"/>
              <w:rPr>
                <w:sz w:val="20"/>
                <w:szCs w:val="20"/>
                <w:color w:val="auto"/>
              </w:rPr>
            </w:pPr>
            <w:r>
              <w:rPr>
                <w:rFonts w:ascii="Arial" w:cs="Arial" w:eastAsia="Arial" w:hAnsi="Arial"/>
                <w:sz w:val="16"/>
                <w:szCs w:val="16"/>
                <w:color w:val="auto"/>
              </w:rPr>
              <w:t>Audit fees:</w:t>
            </w:r>
            <w:r>
              <w:rPr>
                <w:rFonts w:ascii="Arial" w:cs="Arial" w:eastAsia="Arial" w:hAnsi="Arial"/>
                <w:sz w:val="22"/>
                <w:szCs w:val="22"/>
                <w:color w:val="auto"/>
                <w:vertAlign w:val="superscript"/>
              </w:rPr>
              <w:t>(1)</w:t>
            </w:r>
          </w:p>
        </w:tc>
        <w:tc>
          <w:tcPr>
            <w:tcW w:w="4880" w:type="dxa"/>
            <w:vAlign w:val="bottom"/>
            <w:shd w:val="clear" w:color="auto" w:fill="D9D9D9"/>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D9D9D9"/>
          </w:tcPr>
          <w:p>
            <w:pPr>
              <w:jc w:val="right"/>
              <w:ind w:right="35"/>
              <w:spacing w:after="0" w:line="196" w:lineRule="exact"/>
              <w:rPr>
                <w:sz w:val="20"/>
                <w:szCs w:val="20"/>
                <w:color w:val="auto"/>
              </w:rPr>
            </w:pPr>
            <w:r>
              <w:rPr>
                <w:rFonts w:ascii="Arial" w:cs="Arial" w:eastAsia="Arial" w:hAnsi="Arial"/>
                <w:sz w:val="18"/>
                <w:szCs w:val="18"/>
                <w:color w:val="auto"/>
              </w:rPr>
              <w:t>21.7</w:t>
            </w:r>
          </w:p>
        </w:tc>
        <w:tc>
          <w:tcPr>
            <w:tcW w:w="320" w:type="dxa"/>
            <w:vAlign w:val="bottom"/>
            <w:shd w:val="clear" w:color="auto" w:fill="D9D9D9"/>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23.7</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6"/>
                <w:szCs w:val="16"/>
                <w:color w:val="auto"/>
              </w:rPr>
              <w:t>Audit related fees:</w:t>
            </w:r>
            <w:r>
              <w:rPr>
                <w:rFonts w:ascii="Arial" w:cs="Arial" w:eastAsia="Arial" w:hAnsi="Arial"/>
                <w:sz w:val="23"/>
                <w:szCs w:val="23"/>
                <w:color w:val="auto"/>
                <w:vertAlign w:val="superscript"/>
              </w:rPr>
              <w:t>(2)</w:t>
            </w:r>
          </w:p>
        </w:tc>
        <w:tc>
          <w:tcPr>
            <w:tcW w:w="488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0.5</w:t>
            </w: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2320" w:type="dxa"/>
            <w:vAlign w:val="bottom"/>
            <w:shd w:val="clear" w:color="auto" w:fill="D9D9D9"/>
          </w:tcPr>
          <w:p>
            <w:pPr>
              <w:spacing w:after="0" w:line="202" w:lineRule="exact"/>
              <w:rPr>
                <w:sz w:val="20"/>
                <w:szCs w:val="20"/>
                <w:color w:val="auto"/>
              </w:rPr>
            </w:pPr>
            <w:r>
              <w:rPr>
                <w:rFonts w:ascii="Arial" w:cs="Arial" w:eastAsia="Arial" w:hAnsi="Arial"/>
                <w:sz w:val="16"/>
                <w:szCs w:val="16"/>
                <w:color w:val="auto"/>
              </w:rPr>
              <w:t>Tax fees:</w:t>
            </w:r>
            <w:r>
              <w:rPr>
                <w:rFonts w:ascii="Arial" w:cs="Arial" w:eastAsia="Arial" w:hAnsi="Arial"/>
                <w:sz w:val="23"/>
                <w:szCs w:val="23"/>
                <w:color w:val="auto"/>
                <w:vertAlign w:val="superscript"/>
              </w:rPr>
              <w:t>(3)</w:t>
            </w:r>
          </w:p>
        </w:tc>
        <w:tc>
          <w:tcPr>
            <w:tcW w:w="4880" w:type="dxa"/>
            <w:vAlign w:val="bottom"/>
            <w:shd w:val="clear" w:color="auto" w:fill="D9D9D9"/>
          </w:tcPr>
          <w:p>
            <w:pPr>
              <w:spacing w:after="0"/>
              <w:rPr>
                <w:sz w:val="17"/>
                <w:szCs w:val="17"/>
                <w:color w:val="auto"/>
              </w:rPr>
            </w:pPr>
          </w:p>
        </w:tc>
        <w:tc>
          <w:tcPr>
            <w:tcW w:w="920" w:type="dxa"/>
            <w:vAlign w:val="bottom"/>
            <w:shd w:val="clear" w:color="auto" w:fill="D9D9D9"/>
          </w:tcPr>
          <w:p>
            <w:pPr>
              <w:jc w:val="right"/>
              <w:ind w:right="35"/>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320" w:type="dxa"/>
            <w:vAlign w:val="bottom"/>
          </w:tcPr>
          <w:p>
            <w:pPr>
              <w:spacing w:after="0" w:line="202" w:lineRule="exact"/>
              <w:rPr>
                <w:sz w:val="20"/>
                <w:szCs w:val="20"/>
                <w:color w:val="auto"/>
              </w:rPr>
            </w:pPr>
            <w:r>
              <w:rPr>
                <w:rFonts w:ascii="Arial" w:cs="Arial" w:eastAsia="Arial" w:hAnsi="Arial"/>
                <w:sz w:val="16"/>
                <w:szCs w:val="16"/>
                <w:color w:val="auto"/>
              </w:rPr>
              <w:t xml:space="preserve">Other fees: </w:t>
            </w:r>
            <w:r>
              <w:rPr>
                <w:rFonts w:ascii="Arial" w:cs="Arial" w:eastAsia="Arial" w:hAnsi="Arial"/>
                <w:sz w:val="23"/>
                <w:szCs w:val="23"/>
                <w:color w:val="auto"/>
                <w:vertAlign w:val="superscript"/>
              </w:rPr>
              <w:t>(4)</w:t>
            </w:r>
          </w:p>
        </w:tc>
        <w:tc>
          <w:tcPr>
            <w:tcW w:w="488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23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Total</w:t>
            </w:r>
          </w:p>
        </w:tc>
        <w:tc>
          <w:tcPr>
            <w:tcW w:w="488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D9D9D9"/>
          </w:tcPr>
          <w:p>
            <w:pPr>
              <w:jc w:val="right"/>
              <w:ind w:right="35"/>
              <w:spacing w:after="0" w:line="202" w:lineRule="exact"/>
              <w:rPr>
                <w:sz w:val="20"/>
                <w:szCs w:val="20"/>
                <w:color w:val="auto"/>
              </w:rPr>
            </w:pPr>
            <w:r>
              <w:rPr>
                <w:rFonts w:ascii="Arial" w:cs="Arial" w:eastAsia="Arial" w:hAnsi="Arial"/>
                <w:sz w:val="18"/>
                <w:szCs w:val="18"/>
                <w:color w:val="auto"/>
              </w:rPr>
              <w:t>26.2</w:t>
            </w:r>
          </w:p>
        </w:tc>
        <w:tc>
          <w:tcPr>
            <w:tcW w:w="320" w:type="dxa"/>
            <w:vAlign w:val="bottom"/>
            <w:shd w:val="clear" w:color="auto" w:fill="D9D9D9"/>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32.1</w:t>
            </w:r>
          </w:p>
        </w:tc>
      </w:tr>
      <w:tr>
        <w:trPr>
          <w:trHeight w:val="108"/>
        </w:trPr>
        <w:tc>
          <w:tcPr>
            <w:tcW w:w="232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94" w:lineRule="exact"/>
        <w:rPr>
          <w:sz w:val="20"/>
          <w:szCs w:val="20"/>
          <w:color w:val="auto"/>
        </w:rPr>
      </w:pPr>
    </w:p>
    <w:p>
      <w:pPr>
        <w:ind w:left="321" w:right="220" w:hanging="321"/>
        <w:spacing w:after="0" w:line="238" w:lineRule="auto"/>
        <w:tabs>
          <w:tab w:leader="none" w:pos="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p>
      <w:pPr>
        <w:spacing w:after="0" w:line="202" w:lineRule="exact"/>
        <w:rPr>
          <w:rFonts w:ascii="Arial" w:cs="Arial" w:eastAsia="Arial" w:hAnsi="Arial"/>
          <w:sz w:val="18"/>
          <w:szCs w:val="18"/>
          <w:color w:val="auto"/>
        </w:rPr>
      </w:pPr>
    </w:p>
    <w:p>
      <w:pPr>
        <w:ind w:left="321" w:right="60" w:hanging="321"/>
        <w:spacing w:after="0"/>
        <w:tabs>
          <w:tab w:leader="none" w:pos="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p>
      <w:pPr>
        <w:spacing w:after="0" w:line="202" w:lineRule="exact"/>
        <w:rPr>
          <w:rFonts w:ascii="Arial" w:cs="Arial" w:eastAsia="Arial" w:hAnsi="Arial"/>
          <w:sz w:val="18"/>
          <w:szCs w:val="18"/>
          <w:color w:val="auto"/>
        </w:rPr>
      </w:pPr>
    </w:p>
    <w:p>
      <w:pPr>
        <w:ind w:left="321" w:hanging="321"/>
        <w:spacing w:after="0"/>
        <w:tabs>
          <w:tab w:leader="none" w:pos="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 fees consist principally of professional services for corporate tax compliance and tax advisory services.</w:t>
      </w:r>
    </w:p>
    <w:p>
      <w:pPr>
        <w:spacing w:after="0" w:line="211" w:lineRule="exact"/>
        <w:rPr>
          <w:rFonts w:ascii="Arial" w:cs="Arial" w:eastAsia="Arial" w:hAnsi="Arial"/>
          <w:sz w:val="18"/>
          <w:szCs w:val="18"/>
          <w:color w:val="auto"/>
        </w:rPr>
      </w:pPr>
    </w:p>
    <w:p>
      <w:pPr>
        <w:ind w:left="321" w:right="220" w:hanging="321"/>
        <w:spacing w:after="0" w:line="246" w:lineRule="auto"/>
        <w:tabs>
          <w:tab w:leader="none" w:pos="3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fees principally relate to financial advisory services for immaterial international affiliates and information technology assessment services.</w:t>
      </w:r>
    </w:p>
    <w:p>
      <w:pPr>
        <w:spacing w:after="0" w:line="165" w:lineRule="exact"/>
        <w:rPr>
          <w:sz w:val="20"/>
          <w:szCs w:val="20"/>
          <w:color w:val="auto"/>
        </w:rPr>
      </w:pPr>
    </w:p>
    <w:p>
      <w:pPr>
        <w:ind w:left="1" w:right="160"/>
        <w:spacing w:after="0" w:line="261" w:lineRule="auto"/>
        <w:rPr>
          <w:sz w:val="20"/>
          <w:szCs w:val="20"/>
          <w:color w:val="auto"/>
        </w:rPr>
      </w:pPr>
      <w:r>
        <w:rPr>
          <w:rFonts w:ascii="Arial" w:cs="Arial" w:eastAsia="Arial" w:hAnsi="Arial"/>
          <w:sz w:val="22"/>
          <w:szCs w:val="22"/>
          <w:b w:val="1"/>
          <w:bCs w:val="1"/>
          <w:color w:val="071D49"/>
        </w:rPr>
        <w:t>Policy on Audit Committee Pre-Approval of Audit and Permissible Non-Audit Services of the Independent Registered Public Accounting Firm</w:t>
      </w:r>
    </w:p>
    <w:p>
      <w:pPr>
        <w:spacing w:after="0" w:line="183" w:lineRule="exact"/>
        <w:rPr>
          <w:sz w:val="20"/>
          <w:szCs w:val="20"/>
          <w:color w:val="auto"/>
        </w:rPr>
      </w:pPr>
    </w:p>
    <w:p>
      <w:pPr>
        <w:ind w:left="1" w:right="240"/>
        <w:spacing w:after="0"/>
        <w:rPr>
          <w:sz w:val="20"/>
          <w:szCs w:val="20"/>
          <w:color w:val="auto"/>
        </w:rPr>
      </w:pPr>
      <w:r>
        <w:rPr>
          <w:rFonts w:ascii="Arial" w:cs="Arial" w:eastAsia="Arial" w:hAnsi="Arial"/>
          <w:sz w:val="18"/>
          <w:szCs w:val="18"/>
          <w:color w:val="auto"/>
        </w:rPr>
        <w:t>The audit committee has established policies and procedures to pre-approve all audit and permissible non-audit services performed by the independent registered public accounting firm (the independent auditor) and its related affiliates.</w:t>
      </w:r>
    </w:p>
    <w:p>
      <w:pPr>
        <w:spacing w:after="0" w:line="203" w:lineRule="exact"/>
        <w:rPr>
          <w:sz w:val="20"/>
          <w:szCs w:val="20"/>
          <w:color w:val="auto"/>
        </w:rPr>
      </w:pPr>
    </w:p>
    <w:p>
      <w:pPr>
        <w:ind w:left="1" w:right="160"/>
        <w:spacing w:after="0"/>
        <w:rPr>
          <w:sz w:val="20"/>
          <w:szCs w:val="20"/>
          <w:color w:val="auto"/>
        </w:rPr>
      </w:pPr>
      <w:r>
        <w:rPr>
          <w:rFonts w:ascii="Arial" w:cs="Arial" w:eastAsia="Arial" w:hAnsi="Arial"/>
          <w:sz w:val="18"/>
          <w:szCs w:val="18"/>
          <w:color w:val="auto"/>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spacing w:after="0" w:line="203" w:lineRule="exact"/>
        <w:rPr>
          <w:sz w:val="20"/>
          <w:szCs w:val="20"/>
          <w:color w:val="auto"/>
        </w:rPr>
      </w:pPr>
    </w:p>
    <w:p>
      <w:pPr>
        <w:ind w:left="1" w:right="180"/>
        <w:spacing w:after="0" w:line="255" w:lineRule="auto"/>
        <w:rPr>
          <w:sz w:val="20"/>
          <w:szCs w:val="20"/>
          <w:color w:val="auto"/>
        </w:rPr>
      </w:pPr>
      <w:r>
        <w:rPr>
          <w:rFonts w:ascii="Arial" w:cs="Arial" w:eastAsia="Arial" w:hAnsi="Arial"/>
          <w:sz w:val="17"/>
          <w:szCs w:val="17"/>
          <w:color w:val="auto"/>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spacing w:after="0" w:line="190" w:lineRule="exact"/>
        <w:rPr>
          <w:sz w:val="20"/>
          <w:szCs w:val="20"/>
          <w:color w:val="auto"/>
        </w:rPr>
      </w:pPr>
    </w:p>
    <w:p>
      <w:pPr>
        <w:jc w:val="both"/>
        <w:ind w:left="1" w:right="380"/>
        <w:spacing w:after="0"/>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874395" cy="1625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359410</wp:posOffset>
            </wp:positionV>
            <wp:extent cx="588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808080"/>
        </w:rPr>
        <w:t>AUDIT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Audit Committee Report</w:t>
      </w:r>
    </w:p>
    <w:p>
      <w:pPr>
        <w:spacing w:after="0" w:line="22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audit committee has reviewed and discussed the audited financial statements contained in the 2021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spacing w:after="0" w:line="20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 xml:space="preserve">The audit committee has discussed with the independent auditor the matters required to be discussed by the applicable requirements of the Public Company Accounting Oversight Board (PCAOB). In addition, the audit committee has received the written disclosures and the letter from the independent auditor regarding its independence required by PCAOB Ethics and Independence Rule 3526,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Concerning Independence</w:t>
      </w:r>
      <w:r>
        <w:rPr>
          <w:rFonts w:ascii="Arial" w:cs="Arial" w:eastAsia="Arial" w:hAnsi="Arial"/>
          <w:sz w:val="18"/>
          <w:szCs w:val="18"/>
          <w:color w:val="auto"/>
        </w:rPr>
        <w:t>, and has discussed with the independent auditor the firm’s independence.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also considered whether the provision of non-audit services is compatible with maintaining the independence of the independent auditor and concluded the independent auditor’s independence has not been impaired.</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be included in AbbVie’s Annual Report on Form 10-K for the year ended December 31, 2021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 Freyman, Chair, W. Burnside, M. Meyer, E. Rapp, G. Tilton, and F. Waddell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right="280"/>
        <w:spacing w:after="0" w:line="254" w:lineRule="auto"/>
        <w:rPr>
          <w:sz w:val="20"/>
          <w:szCs w:val="20"/>
          <w:color w:val="auto"/>
        </w:rPr>
      </w:pPr>
      <w:r>
        <w:rPr>
          <w:rFonts w:ascii="Arial" w:cs="Arial" w:eastAsia="Arial" w:hAnsi="Arial"/>
          <w:sz w:val="36"/>
          <w:szCs w:val="36"/>
          <w:color w:val="071D49"/>
        </w:rPr>
        <w:t>SAY ON PAY—ADVISORY VOTE ON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5906135" cy="16630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06135" cy="1663065"/>
                    </a:xfrm>
                    <a:prstGeom prst="rect">
                      <a:avLst/>
                    </a:prstGeom>
                    <a:noFill/>
                  </pic:spPr>
                </pic:pic>
              </a:graphicData>
            </a:graphic>
          </wp:anchor>
        </w:drawing>
      </w:r>
    </w:p>
    <w:p>
      <w:pPr>
        <w:sectPr>
          <w:pgSz w:w="11900" w:h="16838" w:orient="portrait"/>
          <w:cols w:equalWidth="0" w:num="1">
            <w:col w:w="9140"/>
          </w:cols>
          <w:pgMar w:left="1320" w:top="53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line="261" w:lineRule="auto"/>
        <w:rPr>
          <w:sz w:val="20"/>
          <w:szCs w:val="20"/>
          <w:color w:val="auto"/>
        </w:rPr>
      </w:pPr>
      <w:r>
        <w:rPr>
          <w:rFonts w:ascii="Arial" w:cs="Arial" w:eastAsia="Arial" w:hAnsi="Arial"/>
          <w:sz w:val="25"/>
          <w:szCs w:val="25"/>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spacing w:after="0" w:line="6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i w:val="1"/>
          <w:iCs w:val="1"/>
          <w:color w:val="auto"/>
        </w:rPr>
        <w:t xml:space="preserve">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 therefore recommends you vote </w:t>
      </w:r>
      <w:r>
        <w:rPr>
          <w:rFonts w:ascii="Arial" w:cs="Arial" w:eastAsia="Arial" w:hAnsi="Arial"/>
          <w:sz w:val="18"/>
          <w:szCs w:val="18"/>
          <w:b w:val="1"/>
          <w:bCs w:val="1"/>
          <w:color w:val="auto"/>
        </w:rPr>
        <w:t>“FOR”</w:t>
      </w:r>
      <w:r>
        <w:rPr>
          <w:rFonts w:ascii="Arial" w:cs="Arial" w:eastAsia="Arial" w:hAnsi="Arial"/>
          <w:sz w:val="18"/>
          <w:szCs w:val="18"/>
          <w:b w:val="1"/>
          <w:bCs w:val="1"/>
          <w:i w:val="1"/>
          <w:iCs w:val="1"/>
          <w:color w:val="auto"/>
        </w:rPr>
        <w:t xml:space="preserve"> the approval of the named executive officers’ compensation.</w:t>
      </w:r>
    </w:p>
    <w:p>
      <w:pPr>
        <w:spacing w:after="0" w:line="200" w:lineRule="exact"/>
        <w:rPr>
          <w:sz w:val="20"/>
          <w:szCs w:val="20"/>
          <w:color w:val="auto"/>
        </w:rPr>
      </w:pPr>
    </w:p>
    <w:p>
      <w:pPr>
        <w:sectPr>
          <w:pgSz w:w="11900" w:h="16838" w:orient="portrait"/>
          <w:cols w:equalWidth="0" w:num="2">
            <w:col w:w="1780" w:space="240"/>
            <w:col w:w="7120"/>
          </w:cols>
          <w:pgMar w:left="1320" w:top="530" w:right="1439" w:bottom="1440" w:gutter="0" w:footer="0" w:header="0"/>
          <w:type w:val="continuous"/>
        </w:sectPr>
      </w:pPr>
    </w:p>
    <w:p>
      <w:pPr>
        <w:spacing w:after="0" w:line="12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874395" cy="1625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i w:val="1"/>
          <w:iCs w:val="1"/>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588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140"/>
          </w:cols>
          <w:pgMar w:left="1320" w:top="530" w:right="1439" w:bottom="1440" w:gutter="0" w:footer="0" w:header="0"/>
          <w:type w:val="continuous"/>
        </w:sectPr>
      </w:pPr>
    </w:p>
    <w:bookmarkStart w:id="71" w:name="page72"/>
    <w:bookmarkEnd w:id="71"/>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right="2040"/>
        <w:spacing w:after="0" w:line="254" w:lineRule="auto"/>
        <w:rPr>
          <w:sz w:val="20"/>
          <w:szCs w:val="20"/>
          <w:color w:val="auto"/>
        </w:rPr>
      </w:pPr>
      <w:r>
        <w:rPr>
          <w:rFonts w:ascii="Arial" w:cs="Arial" w:eastAsia="Arial" w:hAnsi="Arial"/>
          <w:sz w:val="36"/>
          <w:szCs w:val="36"/>
          <w:color w:val="071D49"/>
        </w:rPr>
        <w:t>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588073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5906135" cy="12255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06135" cy="122555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41"/>
        <w:spacing w:after="0" w:line="261" w:lineRule="auto"/>
        <w:rPr>
          <w:sz w:val="20"/>
          <w:szCs w:val="20"/>
          <w:color w:val="auto"/>
        </w:rPr>
      </w:pPr>
      <w:r>
        <w:rPr>
          <w:rFonts w:ascii="Arial" w:cs="Arial" w:eastAsia="Arial" w:hAnsi="Arial"/>
          <w:sz w:val="25"/>
          <w:szCs w:val="25"/>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i w:val="1"/>
          <w:iCs w:val="1"/>
          <w:color w:val="auto"/>
        </w:rPr>
        <w:t>You are being asked to amend and restate the Certificate of Incorporation to remove the supermajority voting requirement. Currently, certain amendments to the company’s Certificate of Incorporation or By-Laws require the affirmative vote of at least</w:t>
      </w:r>
    </w:p>
    <w:p>
      <w:pPr>
        <w:spacing w:after="0" w:line="2"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i w:val="1"/>
          <w:iCs w:val="1"/>
          <w:color w:val="auto"/>
        </w:rPr>
        <w:t>80 percent of the outstanding shares. The proposed amendment will allow for a regular majority to pass such amendments in the future.</w:t>
      </w:r>
    </w:p>
    <w:p>
      <w:pPr>
        <w:spacing w:after="0" w:line="6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 xml:space="preserve">The board of directors therefore recommends you vote </w:t>
      </w:r>
      <w:r>
        <w:rPr>
          <w:rFonts w:ascii="Arial" w:cs="Arial" w:eastAsia="Arial" w:hAnsi="Arial"/>
          <w:sz w:val="18"/>
          <w:szCs w:val="18"/>
          <w:b w:val="1"/>
          <w:bCs w:val="1"/>
          <w:color w:val="auto"/>
        </w:rPr>
        <w:t>“FOR”</w:t>
      </w:r>
      <w:r>
        <w:rPr>
          <w:rFonts w:ascii="Arial" w:cs="Arial" w:eastAsia="Arial" w:hAnsi="Arial"/>
          <w:sz w:val="18"/>
          <w:szCs w:val="18"/>
          <w:b w:val="1"/>
          <w:bCs w:val="1"/>
          <w:i w:val="1"/>
          <w:iCs w:val="1"/>
          <w:color w:val="auto"/>
        </w:rPr>
        <w:t xml:space="preserve"> the management proposal to amend and restate the Certificate of Incorporation to eliminate supermajority voting.</w:t>
      </w:r>
    </w:p>
    <w:p>
      <w:pPr>
        <w:spacing w:after="0" w:line="200" w:lineRule="exact"/>
        <w:rPr>
          <w:sz w:val="20"/>
          <w:szCs w:val="20"/>
          <w:color w:val="auto"/>
        </w:rPr>
      </w:pPr>
    </w:p>
    <w:p>
      <w:pPr>
        <w:sectPr>
          <w:pgSz w:w="11900" w:h="16838" w:orient="portrait"/>
          <w:cols w:equalWidth="0" w:num="2">
            <w:col w:w="1781" w:space="400"/>
            <w:col w:w="7080"/>
          </w:cols>
          <w:pgMar w:left="1319" w:top="530" w:right="1319" w:bottom="1440" w:gutter="0" w:footer="0" w:header="0"/>
          <w:type w:val="continuous"/>
        </w:sectPr>
      </w:pPr>
    </w:p>
    <w:p>
      <w:pPr>
        <w:spacing w:after="0" w:line="99" w:lineRule="exact"/>
        <w:rPr>
          <w:sz w:val="20"/>
          <w:szCs w:val="20"/>
          <w:color w:val="auto"/>
        </w:rPr>
      </w:pPr>
    </w:p>
    <w:p>
      <w:pPr>
        <w:ind w:left="1" w:right="60"/>
        <w:spacing w:after="0" w:line="238" w:lineRule="auto"/>
        <w:rPr>
          <w:sz w:val="20"/>
          <w:szCs w:val="20"/>
          <w:color w:val="auto"/>
        </w:rPr>
      </w:pPr>
      <w:r>
        <w:rPr>
          <w:rFonts w:ascii="Arial" w:cs="Arial" w:eastAsia="Arial" w:hAnsi="Arial"/>
          <w:sz w:val="18"/>
          <w:szCs w:val="18"/>
          <w:color w:val="auto"/>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spacing w:after="0" w:line="202" w:lineRule="exact"/>
        <w:rPr>
          <w:sz w:val="20"/>
          <w:szCs w:val="20"/>
          <w:color w:val="auto"/>
        </w:rPr>
      </w:pPr>
    </w:p>
    <w:p>
      <w:pPr>
        <w:ind w:left="1" w:right="20"/>
        <w:spacing w:after="0" w:line="238" w:lineRule="auto"/>
        <w:rPr>
          <w:sz w:val="20"/>
          <w:szCs w:val="20"/>
          <w:color w:val="auto"/>
        </w:rPr>
      </w:pPr>
      <w:r>
        <w:rPr>
          <w:rFonts w:ascii="Arial" w:cs="Arial" w:eastAsia="Arial" w:hAnsi="Arial"/>
          <w:sz w:val="18"/>
          <w:szCs w:val="18"/>
          <w:color w:val="auto"/>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p>
      <w:pPr>
        <w:spacing w:after="0" w:line="205" w:lineRule="exact"/>
        <w:rPr>
          <w:sz w:val="20"/>
          <w:szCs w:val="20"/>
          <w:color w:val="auto"/>
        </w:rPr>
      </w:pPr>
    </w:p>
    <w:p>
      <w:pPr>
        <w:ind w:left="321" w:right="680" w:hanging="321"/>
        <w:spacing w:after="0" w:line="234" w:lineRule="auto"/>
        <w:tabs>
          <w:tab w:leader="none" w:pos="321" w:val="left"/>
        </w:tabs>
        <w:numPr>
          <w:ilvl w:val="0"/>
          <w:numId w:val="79"/>
        </w:numPr>
        <w:rPr>
          <w:rFonts w:ascii="Arial" w:cs="Arial" w:eastAsia="Arial" w:hAnsi="Arial"/>
          <w:sz w:val="18"/>
          <w:szCs w:val="18"/>
          <w:color w:val="071D49"/>
        </w:rPr>
      </w:pPr>
      <w:r>
        <w:rPr>
          <w:rFonts w:ascii="Arial" w:cs="Arial" w:eastAsia="Arial" w:hAnsi="Arial"/>
          <w:sz w:val="18"/>
          <w:szCs w:val="18"/>
          <w:color w:val="auto"/>
        </w:rPr>
        <w:t>special meetings of stockholders and written consents by stockholders (Article II, Sections 2.2 and 2.12, respectively);</w:t>
      </w:r>
    </w:p>
    <w:p>
      <w:pPr>
        <w:spacing w:after="0" w:line="1" w:lineRule="exact"/>
        <w:rPr>
          <w:rFonts w:ascii="Arial" w:cs="Arial" w:eastAsia="Arial" w:hAnsi="Arial"/>
          <w:sz w:val="18"/>
          <w:szCs w:val="18"/>
          <w:color w:val="071D49"/>
        </w:rPr>
      </w:pPr>
    </w:p>
    <w:p>
      <w:pPr>
        <w:ind w:left="321" w:right="100" w:hanging="321"/>
        <w:spacing w:after="0" w:line="234" w:lineRule="auto"/>
        <w:tabs>
          <w:tab w:leader="none" w:pos="321" w:val="left"/>
        </w:tabs>
        <w:numPr>
          <w:ilvl w:val="0"/>
          <w:numId w:val="79"/>
        </w:numPr>
        <w:rPr>
          <w:rFonts w:ascii="Arial" w:cs="Arial" w:eastAsia="Arial" w:hAnsi="Arial"/>
          <w:sz w:val="18"/>
          <w:szCs w:val="18"/>
          <w:color w:val="071D49"/>
        </w:rPr>
      </w:pPr>
      <w:r>
        <w:rPr>
          <w:rFonts w:ascii="Arial" w:cs="Arial" w:eastAsia="Arial" w:hAnsi="Arial"/>
          <w:sz w:val="18"/>
          <w:szCs w:val="18"/>
          <w:color w:val="auto"/>
        </w:rPr>
        <w:t>board size and tenure, classes of directors, board vacancies, and director removal (Article III, Sections 3.2, 3.3, 3.10 and 3.11, respectively);</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79"/>
        </w:numPr>
        <w:rPr>
          <w:rFonts w:ascii="Arial" w:cs="Arial" w:eastAsia="Arial" w:hAnsi="Arial"/>
          <w:sz w:val="18"/>
          <w:szCs w:val="18"/>
          <w:color w:val="071D49"/>
        </w:rPr>
      </w:pPr>
      <w:r>
        <w:rPr>
          <w:rFonts w:ascii="Arial" w:cs="Arial" w:eastAsia="Arial" w:hAnsi="Arial"/>
          <w:sz w:val="18"/>
          <w:szCs w:val="18"/>
          <w:color w:val="auto"/>
        </w:rPr>
        <w:t>indemnification of directors and officers (Article VII); and</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79"/>
        </w:numPr>
        <w:rPr>
          <w:rFonts w:ascii="Arial" w:cs="Arial" w:eastAsia="Arial" w:hAnsi="Arial"/>
          <w:sz w:val="18"/>
          <w:szCs w:val="18"/>
          <w:color w:val="071D49"/>
        </w:rPr>
      </w:pPr>
      <w:r>
        <w:rPr>
          <w:rFonts w:ascii="Arial" w:cs="Arial" w:eastAsia="Arial" w:hAnsi="Arial"/>
          <w:sz w:val="18"/>
          <w:szCs w:val="18"/>
          <w:color w:val="auto"/>
        </w:rPr>
        <w:t>amendments to the By-Laws (Article X).</w:t>
      </w:r>
    </w:p>
    <w:p>
      <w:pPr>
        <w:spacing w:after="0" w:line="225" w:lineRule="exact"/>
        <w:rPr>
          <w:sz w:val="20"/>
          <w:szCs w:val="20"/>
          <w:color w:val="auto"/>
        </w:rPr>
      </w:pPr>
    </w:p>
    <w:p>
      <w:pPr>
        <w:ind w:left="1" w:right="340"/>
        <w:spacing w:after="0" w:line="238" w:lineRule="auto"/>
        <w:rPr>
          <w:sz w:val="20"/>
          <w:szCs w:val="20"/>
          <w:color w:val="auto"/>
        </w:rPr>
      </w:pPr>
      <w:r>
        <w:rPr>
          <w:rFonts w:ascii="Arial" w:cs="Arial" w:eastAsia="Arial" w:hAnsi="Arial"/>
          <w:sz w:val="18"/>
          <w:szCs w:val="18"/>
          <w:color w:val="auto"/>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p>
      <w:pPr>
        <w:spacing w:after="0" w:line="205" w:lineRule="exact"/>
        <w:rPr>
          <w:sz w:val="20"/>
          <w:szCs w:val="20"/>
          <w:color w:val="auto"/>
        </w:rPr>
      </w:pPr>
    </w:p>
    <w:p>
      <w:pPr>
        <w:ind w:left="321" w:right="600" w:hanging="321"/>
        <w:spacing w:after="0" w:line="234" w:lineRule="auto"/>
        <w:tabs>
          <w:tab w:leader="none" w:pos="321" w:val="left"/>
        </w:tabs>
        <w:numPr>
          <w:ilvl w:val="0"/>
          <w:numId w:val="80"/>
        </w:numPr>
        <w:rPr>
          <w:rFonts w:ascii="Arial" w:cs="Arial" w:eastAsia="Arial" w:hAnsi="Arial"/>
          <w:sz w:val="18"/>
          <w:szCs w:val="18"/>
          <w:color w:val="071D49"/>
        </w:rPr>
      </w:pPr>
      <w:r>
        <w:rPr>
          <w:rFonts w:ascii="Arial" w:cs="Arial" w:eastAsia="Arial" w:hAnsi="Arial"/>
          <w:sz w:val="18"/>
          <w:szCs w:val="18"/>
          <w:color w:val="auto"/>
        </w:rPr>
        <w:t>board size, classes of directors, board vacancies, and director removal (Article VI, Sections 1, 2, 3 and 4, respectively); and</w:t>
      </w:r>
    </w:p>
    <w:p>
      <w:pPr>
        <w:spacing w:after="0" w:line="1" w:lineRule="exact"/>
        <w:rPr>
          <w:rFonts w:ascii="Arial" w:cs="Arial" w:eastAsia="Arial" w:hAnsi="Arial"/>
          <w:sz w:val="18"/>
          <w:szCs w:val="18"/>
          <w:color w:val="071D49"/>
        </w:rPr>
      </w:pPr>
    </w:p>
    <w:p>
      <w:pPr>
        <w:ind w:left="321" w:right="960" w:hanging="321"/>
        <w:spacing w:after="0" w:line="246" w:lineRule="auto"/>
        <w:tabs>
          <w:tab w:leader="none" w:pos="321" w:val="left"/>
        </w:tabs>
        <w:numPr>
          <w:ilvl w:val="0"/>
          <w:numId w:val="80"/>
        </w:numPr>
        <w:rPr>
          <w:rFonts w:ascii="Arial" w:cs="Arial" w:eastAsia="Arial" w:hAnsi="Arial"/>
          <w:sz w:val="18"/>
          <w:szCs w:val="18"/>
          <w:color w:val="071D49"/>
        </w:rPr>
      </w:pPr>
      <w:r>
        <w:rPr>
          <w:rFonts w:ascii="Arial" w:cs="Arial" w:eastAsia="Arial" w:hAnsi="Arial"/>
          <w:sz w:val="18"/>
          <w:szCs w:val="18"/>
          <w:color w:val="auto"/>
        </w:rPr>
        <w:t>written consents by stockholders and special meetings of stockholders (Article VII, Sections 1 and 2, respectively).</w:t>
      </w:r>
    </w:p>
    <w:p>
      <w:pPr>
        <w:spacing w:after="0" w:line="197" w:lineRule="exact"/>
        <w:rPr>
          <w:sz w:val="20"/>
          <w:szCs w:val="20"/>
          <w:color w:val="auto"/>
        </w:rPr>
      </w:pPr>
    </w:p>
    <w:p>
      <w:pPr>
        <w:ind w:left="1" w:right="100"/>
        <w:spacing w:after="0" w:line="237" w:lineRule="auto"/>
        <w:rPr>
          <w:sz w:val="20"/>
          <w:szCs w:val="20"/>
          <w:color w:val="auto"/>
        </w:rPr>
      </w:pPr>
      <w:r>
        <w:rPr>
          <w:rFonts w:ascii="Arial" w:cs="Arial" w:eastAsia="Arial" w:hAnsi="Arial"/>
          <w:sz w:val="18"/>
          <w:szCs w:val="18"/>
          <w:color w:val="auto"/>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MANAGEMENT PROPOSAL TO ELIMINATE</w:t>
      </w:r>
    </w:p>
    <w:p>
      <w:pPr>
        <w:ind w:left="320"/>
        <w:spacing w:after="0"/>
        <w:rPr>
          <w:sz w:val="20"/>
          <w:szCs w:val="20"/>
          <w:color w:val="auto"/>
        </w:rPr>
      </w:pPr>
      <w:r>
        <w:rPr>
          <w:rFonts w:ascii="Arial" w:cs="Arial" w:eastAsia="Arial" w:hAnsi="Arial"/>
          <w:sz w:val="18"/>
          <w:szCs w:val="18"/>
          <w:color w:val="808080"/>
        </w:rPr>
        <w:t>SUPERMAJORITY VOTING</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proposed Certificate of Amendment to the Certificate of Incorporation is attached to this proxy statement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which the company would file promptly following the 2022 Annual Meeting if our stockholders approve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874395" cy="1625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180"/>
          </w:cols>
          <w:pgMar w:left="1320" w:top="530" w:right="13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5"/>
          <w:szCs w:val="35"/>
          <w:color w:val="071D49"/>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588073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173990</wp:posOffset>
            </wp:positionV>
            <wp:extent cx="5906135" cy="13544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06135" cy="135445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line="261" w:lineRule="auto"/>
        <w:rPr>
          <w:sz w:val="20"/>
          <w:szCs w:val="20"/>
          <w:color w:val="auto"/>
        </w:rPr>
      </w:pPr>
      <w:r>
        <w:rPr>
          <w:rFonts w:ascii="Arial" w:cs="Arial" w:eastAsia="Arial" w:hAnsi="Arial"/>
          <w:sz w:val="25"/>
          <w:szCs w:val="25"/>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Four stockholder proposals will be voted upon at the Annual Meeting if properly presented by or on behalf of the proponent. The address and share ownership information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w:t>
      </w:r>
    </w:p>
    <w:p>
      <w:pPr>
        <w:spacing w:after="0" w:line="7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 xml:space="preserve">The board of directors recommends you vote </w:t>
      </w:r>
      <w:r>
        <w:rPr>
          <w:rFonts w:ascii="Arial" w:cs="Arial" w:eastAsia="Arial" w:hAnsi="Arial"/>
          <w:sz w:val="18"/>
          <w:szCs w:val="18"/>
          <w:b w:val="1"/>
          <w:bCs w:val="1"/>
          <w:color w:val="auto"/>
        </w:rPr>
        <w:t>“AGAINST”</w:t>
      </w:r>
      <w:r>
        <w:rPr>
          <w:rFonts w:ascii="Arial" w:cs="Arial" w:eastAsia="Arial" w:hAnsi="Arial"/>
          <w:sz w:val="18"/>
          <w:szCs w:val="18"/>
          <w:b w:val="1"/>
          <w:bCs w:val="1"/>
          <w:i w:val="1"/>
          <w:iCs w:val="1"/>
          <w:color w:val="auto"/>
        </w:rPr>
        <w:t xml:space="preserve"> the proposals for the reasons set forth following the proposals.</w:t>
      </w:r>
    </w:p>
    <w:p>
      <w:pPr>
        <w:spacing w:after="0" w:line="72" w:lineRule="exact"/>
        <w:rPr>
          <w:sz w:val="20"/>
          <w:szCs w:val="20"/>
          <w:color w:val="auto"/>
        </w:rPr>
      </w:pPr>
    </w:p>
    <w:p>
      <w:pPr>
        <w:sectPr>
          <w:pgSz w:w="11900" w:h="16838" w:orient="portrait"/>
          <w:cols w:equalWidth="0" w:num="2">
            <w:col w:w="1780" w:space="400"/>
            <w:col w:w="7080"/>
          </w:cols>
          <w:pgMar w:left="1320" w:top="530" w:right="1319" w:bottom="1440" w:gutter="0" w:footer="0" w:header="0"/>
          <w:type w:val="continuous"/>
        </w:sectPr>
      </w:pPr>
    </w:p>
    <w:p>
      <w:pPr>
        <w:spacing w:after="0"/>
        <w:rPr>
          <w:sz w:val="20"/>
          <w:szCs w:val="20"/>
          <w:color w:val="auto"/>
        </w:rPr>
      </w:pPr>
      <w:r>
        <w:rPr>
          <w:rFonts w:ascii="Arial" w:cs="Arial" w:eastAsia="Arial" w:hAnsi="Arial"/>
          <w:sz w:val="32"/>
          <w:szCs w:val="32"/>
          <w:color w:val="808080"/>
        </w:rPr>
        <w:t>Stockholder Proposal on Independent Chair</w:t>
      </w:r>
    </w:p>
    <w:p>
      <w:pPr>
        <w:spacing w:after="0" w:line="22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Employees’ Retirement System of Rhode Island and co-filer Vermont Pension Investment Commission have notified AbbVie that they intend to present the following proposal at the Annual Meeting and that they own the requisite number of AbbVie shares.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RESOLVED, AbbVie Inc. ("AbbVie" or "the Company") shareholders request the Board of Directors adopt as policy (the "Policy"), and amend the bylaws as necessary, to require henceforth that the Chair of the Board of Directors, whenever possible, be an independent member of the board. The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CEO transition.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20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May 2021, the U.S. House of Representatives' Committee on Oversight and Reform published a 57-page report which states:</w:t>
      </w:r>
    </w:p>
    <w:p>
      <w:pPr>
        <w:spacing w:after="0" w:line="1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"[P]rice hikes contributed to billions of dollars in corporate profits and enriched company executives while harming American patients and taxpayers. AbbVie pursued a variety of tactics to increase drug sales while raising prices for Americans including exploiting the patent system to extend its market monopoly, abusing orphan drug protections to further block competition, and engaging in anticompetitive pricing practices".</w:t>
      </w:r>
      <w:r>
        <w:rPr>
          <w:rFonts w:ascii="Arial" w:cs="Arial" w:eastAsia="Arial" w:hAnsi="Arial"/>
          <w:sz w:val="26"/>
          <w:szCs w:val="26"/>
          <w:color w:val="auto"/>
          <w:vertAlign w:val="superscript"/>
        </w:rPr>
        <w:t>1</w:t>
      </w:r>
    </w:p>
    <w:p>
      <w:pPr>
        <w:spacing w:after="0" w:line="23"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In September 2021, AbbVie investors who are alleging that the Company inflated its stock price with false or misleading statements, had their lawsuit certified as a class action by a federal judge in Illinois.</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Those investors are alleging that AbbVie provided physicians "classic kickbacks like cash, meals, drinks, gifts, trips, and patient referrals to induce and reward Humira prescriptions".</w:t>
      </w:r>
      <w:r>
        <w:rPr>
          <w:rFonts w:ascii="Arial" w:cs="Arial" w:eastAsia="Arial" w:hAnsi="Arial"/>
          <w:sz w:val="26"/>
          <w:szCs w:val="26"/>
          <w:color w:val="auto"/>
          <w:vertAlign w:val="superscript"/>
        </w:rPr>
        <w:t>3</w:t>
      </w:r>
    </w:p>
    <w:p>
      <w:pPr>
        <w:spacing w:after="0" w:line="4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September 2020, AbbVie settled a lawsuit with the State of California which similarly alleged that the Company provided valuable goods and services to doctors to induce them to prescribe Humira. In the settlement, AbbVie agreed to pay $24 million and reform its marketing practices.</w:t>
      </w:r>
    </w:p>
    <w:p>
      <w:pPr>
        <w:spacing w:after="0" w:line="16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sustained public controversy and regulatory intervention which surround the Company, whether ultimately found to be justified or not, are strong arguments for the need for continuous, effective and unconflicted board oversight of corporate management.</w:t>
      </w:r>
    </w:p>
    <w:p>
      <w:pPr>
        <w:spacing w:after="0" w:line="16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board is responsible for this oversight, but conflicts of interest may arise when one person holds both the Chair and CEO positions. In our view, shareholders are best served by an independent board Chair who can provide a balance of power between the CEO and the board. We believe that AbbVie's board should adopt best practice governance policies, including having an independent board chair.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-539115</wp:posOffset>
            </wp:positionV>
            <wp:extent cx="874395"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type w:val="continuous"/>
        </w:sectPr>
      </w:pPr>
    </w:p>
    <w:bookmarkStart w:id="74" w:name="page75"/>
    <w:bookmarkEnd w:id="74"/>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left="1" w:right="180"/>
        <w:spacing w:after="0" w:line="238" w:lineRule="auto"/>
        <w:rPr>
          <w:sz w:val="20"/>
          <w:szCs w:val="20"/>
          <w:color w:val="auto"/>
        </w:rPr>
      </w:pPr>
      <w:r>
        <w:rPr>
          <w:rFonts w:ascii="Arial" w:cs="Arial" w:eastAsia="Arial" w:hAnsi="Arial"/>
          <w:sz w:val="18"/>
          <w:szCs w:val="18"/>
          <w:color w:val="auto"/>
        </w:rPr>
        <w:t>While the CEO's insights and communication can and should be shared with an independently led board, the difference, should the shareholder proposal be implemented, is that those insights will then be subjected to review and oversight by a board led by an independent chair, rather than by a board led by the same person whose insights are being considered.</w:t>
      </w:r>
    </w:p>
    <w:p>
      <w:pPr>
        <w:spacing w:after="0" w:line="164" w:lineRule="exact"/>
        <w:rPr>
          <w:sz w:val="20"/>
          <w:szCs w:val="20"/>
          <w:color w:val="auto"/>
        </w:rPr>
      </w:pPr>
    </w:p>
    <w:p>
      <w:pPr>
        <w:ind w:left="1" w:right="40" w:hanging="7"/>
        <w:spacing w:after="0" w:line="234" w:lineRule="auto"/>
        <w:rPr>
          <w:sz w:val="20"/>
          <w:szCs w:val="20"/>
          <w:color w:val="auto"/>
        </w:rPr>
      </w:pPr>
      <w:r>
        <w:rPr>
          <w:rFonts w:ascii="Arial" w:cs="Arial" w:eastAsia="Arial" w:hAnsi="Arial"/>
          <w:sz w:val="18"/>
          <w:szCs w:val="18"/>
          <w:color w:val="auto"/>
        </w:rPr>
        <w:t>To ensure that our board can provide rigorous oversight for AbbVie and management with greater independence and accountability, we urge a vote FOR this shareholder proposal.</w:t>
      </w:r>
    </w:p>
    <w:p>
      <w:pPr>
        <w:ind w:left="1"/>
        <w:spacing w:after="0" w:line="236" w:lineRule="auto"/>
        <w:rPr>
          <w:sz w:val="20"/>
          <w:szCs w:val="20"/>
          <w:color w:val="auto"/>
        </w:rPr>
      </w:pPr>
      <w:r>
        <w:rPr>
          <w:rFonts w:ascii="Arial" w:cs="Arial" w:eastAsia="Arial" w:hAnsi="Arial"/>
          <w:sz w:val="18"/>
          <w:szCs w:val="18"/>
          <w:b w:val="1"/>
          <w:bCs w:val="1"/>
          <w:color w:val="auto"/>
        </w:rPr>
        <w:t>_______________________</w:t>
      </w:r>
    </w:p>
    <w:p>
      <w:pPr>
        <w:spacing w:after="0" w:line="3" w:lineRule="exact"/>
        <w:rPr>
          <w:sz w:val="20"/>
          <w:szCs w:val="20"/>
          <w:color w:val="auto"/>
        </w:rPr>
      </w:pPr>
    </w:p>
    <w:p>
      <w:pPr>
        <w:ind w:left="1" w:right="20" w:hanging="1"/>
        <w:spacing w:after="0" w:line="186" w:lineRule="auto"/>
        <w:tabs>
          <w:tab w:leader="none" w:pos="114" w:val="left"/>
        </w:tabs>
        <w:numPr>
          <w:ilvl w:val="0"/>
          <w:numId w:val="81"/>
        </w:numPr>
        <w:rPr>
          <w:rFonts w:ascii="Arial" w:cs="Arial" w:eastAsia="Arial" w:hAnsi="Arial"/>
          <w:sz w:val="27"/>
          <w:szCs w:val="27"/>
          <w:color w:val="auto"/>
          <w:vertAlign w:val="superscript"/>
        </w:rPr>
      </w:pPr>
      <w:r>
        <w:rPr>
          <w:rFonts w:ascii="Arial" w:cs="Arial" w:eastAsia="Arial" w:hAnsi="Arial"/>
          <w:sz w:val="16"/>
          <w:szCs w:val="16"/>
          <w:color w:val="auto"/>
        </w:rPr>
        <w:t>https://oversight.house.gov/sites/democrats.oversight.house.gov/files/Committee%20on%20Oversight%20and%20Refor m%20-%20AbbVie%20Staff%20Report.pdf</w:t>
      </w:r>
    </w:p>
    <w:p>
      <w:pPr>
        <w:ind w:left="1" w:right="1240"/>
        <w:spacing w:after="0" w:line="216"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https://news.bloomberglaw.com/class-action/abbvie-investors-win-class-action-status-in-humira-kickback-case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https://law.justia.com/cases/federaI/district-courts/illinois/iIndce/1:2018cv06790/357309/104/</w:t>
      </w:r>
    </w:p>
    <w:p>
      <w:pPr>
        <w:spacing w:after="0" w:line="268" w:lineRule="exact"/>
        <w:rPr>
          <w:sz w:val="20"/>
          <w:szCs w:val="20"/>
          <w:color w:val="auto"/>
        </w:rPr>
      </w:pPr>
    </w:p>
    <w:p>
      <w:pPr>
        <w:ind w:left="1" w:right="380"/>
        <w:spacing w:after="0" w:line="260" w:lineRule="auto"/>
        <w:rPr>
          <w:sz w:val="20"/>
          <w:szCs w:val="20"/>
          <w:color w:val="auto"/>
        </w:rPr>
      </w:pPr>
      <w:r>
        <w:rPr>
          <w:rFonts w:ascii="Arial" w:cs="Arial" w:eastAsia="Arial" w:hAnsi="Arial"/>
          <w:sz w:val="32"/>
          <w:szCs w:val="32"/>
          <w:color w:val="071D49"/>
        </w:rPr>
        <w:t>Board of Directors Statement in Opposition to the Stockholder Proposal on Independent Chair</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12" w:lineRule="exact"/>
        <w:rPr>
          <w:sz w:val="20"/>
          <w:szCs w:val="20"/>
          <w:color w:val="auto"/>
        </w:rPr>
      </w:pPr>
    </w:p>
    <w:p>
      <w:pPr>
        <w:ind w:left="1" w:right="300"/>
        <w:spacing w:after="0" w:line="301" w:lineRule="auto"/>
        <w:rPr>
          <w:sz w:val="20"/>
          <w:szCs w:val="20"/>
          <w:color w:val="auto"/>
        </w:rPr>
      </w:pPr>
      <w:r>
        <w:rPr>
          <w:rFonts w:ascii="Arial" w:cs="Arial" w:eastAsia="Arial" w:hAnsi="Arial"/>
          <w:sz w:val="17"/>
          <w:szCs w:val="17"/>
          <w:b w:val="1"/>
          <w:bCs w:val="1"/>
          <w:color w:val="auto"/>
        </w:rPr>
        <w:t>Our board of directors believes that our stockholders are best served by preserving the flexibility to determine the appropriate leadership structure for the company in light of the circumstances at the time.</w:t>
      </w:r>
    </w:p>
    <w:p>
      <w:pPr>
        <w:spacing w:after="0" w:line="153" w:lineRule="exact"/>
        <w:rPr>
          <w:sz w:val="20"/>
          <w:szCs w:val="20"/>
          <w:color w:val="auto"/>
        </w:rPr>
      </w:pPr>
    </w:p>
    <w:p>
      <w:pPr>
        <w:ind w:left="1"/>
        <w:spacing w:after="0" w:line="237" w:lineRule="auto"/>
        <w:rPr>
          <w:sz w:val="20"/>
          <w:szCs w:val="20"/>
          <w:color w:val="auto"/>
        </w:rPr>
      </w:pPr>
      <w:r>
        <w:rPr>
          <w:rFonts w:ascii="Arial" w:cs="Arial" w:eastAsia="Arial" w:hAnsi="Arial"/>
          <w:sz w:val="18"/>
          <w:szCs w:val="18"/>
          <w:color w:val="auto"/>
        </w:rPr>
        <w:t>We believe the proposal would unnecessarily restrict the board’s ability to exercise its fiduciary duty to determine the board leadership structure most appropriate for the company given the specific circumstances and leadership needs at any particular point in time. The company’s robust governance framework ensures that board leadership is balanced with independent participation given the extensive involvement of the lead director and his oversight. Therefore, adopting a proposal that would limit the board’s ability to exercise decision making on the appropriate leadership is not in stockholders’ best interests.</w:t>
      </w:r>
    </w:p>
    <w:p>
      <w:pPr>
        <w:spacing w:after="0" w:line="183" w:lineRule="exact"/>
        <w:rPr>
          <w:sz w:val="20"/>
          <w:szCs w:val="20"/>
          <w:color w:val="auto"/>
        </w:rPr>
      </w:pPr>
    </w:p>
    <w:p>
      <w:pPr>
        <w:ind w:left="1" w:right="400"/>
        <w:spacing w:after="0" w:line="271" w:lineRule="auto"/>
        <w:rPr>
          <w:sz w:val="20"/>
          <w:szCs w:val="20"/>
          <w:color w:val="auto"/>
        </w:rPr>
      </w:pPr>
      <w:r>
        <w:rPr>
          <w:rFonts w:ascii="Arial" w:cs="Arial" w:eastAsia="Arial" w:hAnsi="Arial"/>
          <w:sz w:val="18"/>
          <w:szCs w:val="18"/>
          <w:b w:val="1"/>
          <w:bCs w:val="1"/>
          <w:color w:val="auto"/>
        </w:rPr>
        <w:t>AbbVie’s existing leadership structure and corporate governance practices provide strong independent oversight.</w:t>
      </w:r>
    </w:p>
    <w:p>
      <w:pPr>
        <w:spacing w:after="0" w:line="176" w:lineRule="exact"/>
        <w:rPr>
          <w:sz w:val="20"/>
          <w:szCs w:val="20"/>
          <w:color w:val="auto"/>
        </w:rPr>
      </w:pPr>
    </w:p>
    <w:p>
      <w:pPr>
        <w:ind w:left="1" w:right="160"/>
        <w:spacing w:after="0" w:line="238" w:lineRule="auto"/>
        <w:rPr>
          <w:sz w:val="20"/>
          <w:szCs w:val="20"/>
          <w:color w:val="auto"/>
        </w:rPr>
      </w:pPr>
      <w:r>
        <w:rPr>
          <w:rFonts w:ascii="Arial" w:cs="Arial" w:eastAsia="Arial" w:hAnsi="Arial"/>
          <w:sz w:val="18"/>
          <w:szCs w:val="18"/>
          <w:color w:val="auto"/>
        </w:rPr>
        <w:t>Since its inception in 2013, AbbVie has had a robust lead independent director role. The lead independent director has significant authority and responsibilities and works directly with the Chairman and CEO, as well as the independent directors, to ensure meaningful oversight of the board. Among other duties, our lead independent director:</w:t>
      </w:r>
    </w:p>
    <w:p>
      <w:pPr>
        <w:spacing w:after="0" w:line="205" w:lineRule="exact"/>
        <w:rPr>
          <w:sz w:val="20"/>
          <w:szCs w:val="20"/>
          <w:color w:val="auto"/>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reviews and guides agenda items for board meetings;</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leads the CEO succession planning process;</w:t>
      </w:r>
    </w:p>
    <w:p>
      <w:pPr>
        <w:spacing w:after="0" w:line="9" w:lineRule="exact"/>
        <w:rPr>
          <w:rFonts w:ascii="Arial" w:cs="Arial" w:eastAsia="Arial" w:hAnsi="Arial"/>
          <w:sz w:val="18"/>
          <w:szCs w:val="18"/>
          <w:color w:val="071D49"/>
        </w:rPr>
      </w:pPr>
    </w:p>
    <w:p>
      <w:pPr>
        <w:ind w:left="321" w:right="560" w:hanging="321"/>
        <w:spacing w:after="0" w:line="234" w:lineRule="auto"/>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facilitates communication with the board and presides over regularly conducted executive sessions of the independent directors or sessions where the chairman of the board is not present;</w:t>
      </w:r>
    </w:p>
    <w:p>
      <w:pPr>
        <w:spacing w:after="0" w:line="1" w:lineRule="exact"/>
        <w:rPr>
          <w:rFonts w:ascii="Arial" w:cs="Arial" w:eastAsia="Arial" w:hAnsi="Arial"/>
          <w:sz w:val="18"/>
          <w:szCs w:val="18"/>
          <w:color w:val="071D49"/>
        </w:rPr>
      </w:pPr>
    </w:p>
    <w:p>
      <w:pPr>
        <w:ind w:left="321" w:right="280" w:hanging="321"/>
        <w:spacing w:after="0" w:line="234" w:lineRule="auto"/>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reviews and approves matters, such as schedule sufficiency, and, where appropriate, information provided to other board members;</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serves as the liaison between the chairman of the board and the independent directors;</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has the authority to call meetings of the independent directors;</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leads the board’s evaluation of the CEO;</w:t>
      </w:r>
    </w:p>
    <w:p>
      <w:pPr>
        <w:spacing w:after="0" w:line="9" w:lineRule="exact"/>
        <w:rPr>
          <w:rFonts w:ascii="Arial" w:cs="Arial" w:eastAsia="Arial" w:hAnsi="Arial"/>
          <w:sz w:val="18"/>
          <w:szCs w:val="18"/>
          <w:color w:val="071D49"/>
        </w:rPr>
      </w:pPr>
    </w:p>
    <w:p>
      <w:pPr>
        <w:ind w:left="321" w:right="180" w:hanging="321"/>
        <w:spacing w:after="0" w:line="234" w:lineRule="auto"/>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leads the annual board and committee evaluation process, including discussing evaluations with each director individually;</w:t>
      </w:r>
    </w:p>
    <w:p>
      <w:pPr>
        <w:spacing w:after="0" w:line="1" w:lineRule="exact"/>
        <w:rPr>
          <w:rFonts w:ascii="Arial" w:cs="Arial" w:eastAsia="Arial" w:hAnsi="Arial"/>
          <w:sz w:val="18"/>
          <w:szCs w:val="18"/>
          <w:color w:val="071D49"/>
        </w:rPr>
      </w:pPr>
    </w:p>
    <w:p>
      <w:pPr>
        <w:ind w:left="321" w:right="580" w:hanging="321"/>
        <w:spacing w:after="0" w:line="234" w:lineRule="auto"/>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encourages effective director participation by fostering an environment of open dialogue and constructive feedback among independent directors;</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involved in selection and interviewing of new board members;</w:t>
      </w:r>
    </w:p>
    <w:p>
      <w:pPr>
        <w:spacing w:after="0" w:line="9" w:lineRule="exact"/>
        <w:rPr>
          <w:rFonts w:ascii="Arial" w:cs="Arial" w:eastAsia="Arial" w:hAnsi="Arial"/>
          <w:sz w:val="18"/>
          <w:szCs w:val="18"/>
          <w:color w:val="071D49"/>
        </w:rPr>
      </w:pPr>
    </w:p>
    <w:p>
      <w:pPr>
        <w:ind w:left="321" w:right="1240" w:hanging="321"/>
        <w:spacing w:after="0" w:line="246" w:lineRule="auto"/>
        <w:tabs>
          <w:tab w:leader="none" w:pos="321" w:val="left"/>
        </w:tabs>
        <w:numPr>
          <w:ilvl w:val="0"/>
          <w:numId w:val="82"/>
        </w:numPr>
        <w:rPr>
          <w:rFonts w:ascii="Arial" w:cs="Arial" w:eastAsia="Arial" w:hAnsi="Arial"/>
          <w:sz w:val="18"/>
          <w:szCs w:val="18"/>
          <w:color w:val="071D49"/>
        </w:rPr>
      </w:pPr>
      <w:r>
        <w:rPr>
          <w:rFonts w:ascii="Arial" w:cs="Arial" w:eastAsia="Arial" w:hAnsi="Arial"/>
          <w:sz w:val="18"/>
          <w:szCs w:val="18"/>
          <w:color w:val="auto"/>
        </w:rPr>
        <w:t>if requested by major stockholders, ensures that he or she is available for consultation and direct communication as needed;</w:t>
      </w:r>
    </w:p>
    <w:p>
      <w:pPr>
        <w:spacing w:after="0" w:line="200" w:lineRule="exact"/>
        <w:rPr>
          <w:sz w:val="20"/>
          <w:szCs w:val="20"/>
          <w:color w:val="auto"/>
        </w:rPr>
      </w:pPr>
    </w:p>
    <w:p>
      <w:pPr>
        <w:spacing w:after="0" w:line="212"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874395" cy="1625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75" w:name="page76"/>
    <w:bookmarkEnd w:id="75"/>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401"/>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left="321" w:hanging="321"/>
        <w:spacing w:after="0"/>
        <w:tabs>
          <w:tab w:leader="none" w:pos="321" w:val="left"/>
        </w:tabs>
        <w:numPr>
          <w:ilvl w:val="0"/>
          <w:numId w:val="83"/>
        </w:numPr>
        <w:rPr>
          <w:rFonts w:ascii="Arial" w:cs="Arial" w:eastAsia="Arial" w:hAnsi="Arial"/>
          <w:sz w:val="18"/>
          <w:szCs w:val="18"/>
          <w:color w:val="071D49"/>
        </w:rPr>
      </w:pPr>
      <w:r>
        <w:rPr>
          <w:rFonts w:ascii="Arial" w:cs="Arial" w:eastAsia="Arial" w:hAnsi="Arial"/>
          <w:sz w:val="18"/>
          <w:szCs w:val="18"/>
          <w:color w:val="auto"/>
        </w:rPr>
        <w:t>if required, represents independent board members externally; and</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83"/>
        </w:numPr>
        <w:rPr>
          <w:rFonts w:ascii="Arial" w:cs="Arial" w:eastAsia="Arial" w:hAnsi="Arial"/>
          <w:sz w:val="18"/>
          <w:szCs w:val="18"/>
          <w:color w:val="071D49"/>
        </w:rPr>
      </w:pPr>
      <w:r>
        <w:rPr>
          <w:rFonts w:ascii="Arial" w:cs="Arial" w:eastAsia="Arial" w:hAnsi="Arial"/>
          <w:sz w:val="18"/>
          <w:szCs w:val="18"/>
          <w:color w:val="auto"/>
        </w:rPr>
        <w:t>performs such other duties as the board may determine from time to time.</w:t>
      </w:r>
    </w:p>
    <w:p>
      <w:pPr>
        <w:spacing w:after="0" w:line="225" w:lineRule="exact"/>
        <w:rPr>
          <w:sz w:val="20"/>
          <w:szCs w:val="20"/>
          <w:color w:val="auto"/>
        </w:rPr>
      </w:pPr>
    </w:p>
    <w:p>
      <w:pPr>
        <w:ind w:left="1" w:right="60"/>
        <w:spacing w:after="0" w:line="236" w:lineRule="auto"/>
        <w:rPr>
          <w:sz w:val="20"/>
          <w:szCs w:val="20"/>
          <w:color w:val="auto"/>
        </w:rPr>
      </w:pPr>
      <w:r>
        <w:rPr>
          <w:rFonts w:ascii="Arial" w:cs="Arial" w:eastAsia="Arial" w:hAnsi="Arial"/>
          <w:sz w:val="18"/>
          <w:szCs w:val="18"/>
          <w:color w:val="auto"/>
        </w:rPr>
        <w:t>AbbVie has other robust corporate governance practices designed to protect long-term shareholder value. All directors, other than the CEO, are independent. All key committees and committee chairs are comprised completely of independent directors. Our independent directors meet regularly in executive session, which is presided over by the lead director. Our directors are also subject to majority voting as set forth in our By-Laws. Other corporate governance practices, which are highlighted in our Governance Guidelines (available at www.abbvieinvestor.com) and throughout this proxy statement, include a comprehensive board risk management oversight process; an annual investor engagement program, reaching nearly 40% of outstanding shares; annual say on pay votes; and proxy access.</w:t>
      </w:r>
    </w:p>
    <w:p>
      <w:pPr>
        <w:spacing w:after="0" w:line="186" w:lineRule="exact"/>
        <w:rPr>
          <w:sz w:val="20"/>
          <w:szCs w:val="20"/>
          <w:color w:val="auto"/>
        </w:rPr>
      </w:pPr>
    </w:p>
    <w:p>
      <w:pPr>
        <w:ind w:left="1" w:right="160"/>
        <w:spacing w:after="0" w:line="271" w:lineRule="auto"/>
        <w:rPr>
          <w:sz w:val="20"/>
          <w:szCs w:val="20"/>
          <w:color w:val="auto"/>
        </w:rPr>
      </w:pPr>
      <w:r>
        <w:rPr>
          <w:rFonts w:ascii="Arial" w:cs="Arial" w:eastAsia="Arial" w:hAnsi="Arial"/>
          <w:sz w:val="18"/>
          <w:szCs w:val="18"/>
          <w:b w:val="1"/>
          <w:bCs w:val="1"/>
          <w:color w:val="auto"/>
        </w:rPr>
        <w:t>The board periodically considers AbbVie’s leadership structure and has determined that its needs are best met through the existing structure.</w:t>
      </w:r>
    </w:p>
    <w:p>
      <w:pPr>
        <w:spacing w:after="0" w:line="176" w:lineRule="exact"/>
        <w:rPr>
          <w:sz w:val="20"/>
          <w:szCs w:val="20"/>
          <w:color w:val="auto"/>
        </w:rPr>
      </w:pPr>
    </w:p>
    <w:p>
      <w:pPr>
        <w:ind w:left="1" w:right="100"/>
        <w:spacing w:after="0" w:line="238" w:lineRule="auto"/>
        <w:rPr>
          <w:sz w:val="20"/>
          <w:szCs w:val="20"/>
          <w:color w:val="auto"/>
        </w:rPr>
      </w:pPr>
      <w:r>
        <w:rPr>
          <w:rFonts w:ascii="Arial" w:cs="Arial" w:eastAsia="Arial" w:hAnsi="Arial"/>
          <w:sz w:val="18"/>
          <w:szCs w:val="18"/>
          <w:color w:val="auto"/>
        </w:rPr>
        <w:t>In light of the lead independent director authority and responsibilities and other corporate governance practices, the board has determined that its current leadership structure, in which the offices of Chairman and Chief Executive Officer are held by one individual, along with a strong and independent Lead Director, ensures the appropriate level of oversight, independence, and responsibility is applied to all board decisions and is in the best interests of AbbVie and its stockholders.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The board of directors recommends that you vote AGAINST the proposal.</w:t>
      </w:r>
    </w:p>
    <w:p>
      <w:pPr>
        <w:spacing w:after="0" w:line="200" w:lineRule="exact"/>
        <w:rPr>
          <w:sz w:val="20"/>
          <w:szCs w:val="20"/>
          <w:color w:val="auto"/>
        </w:rPr>
      </w:pPr>
    </w:p>
    <w:p>
      <w:pPr>
        <w:spacing w:after="0" w:line="227" w:lineRule="exact"/>
        <w:rPr>
          <w:sz w:val="20"/>
          <w:szCs w:val="20"/>
          <w:color w:val="auto"/>
        </w:rPr>
      </w:pPr>
    </w:p>
    <w:p>
      <w:pPr>
        <w:ind w:left="1"/>
        <w:spacing w:after="0"/>
        <w:rPr>
          <w:sz w:val="20"/>
          <w:szCs w:val="20"/>
          <w:color w:val="auto"/>
        </w:rPr>
      </w:pPr>
      <w:r>
        <w:rPr>
          <w:rFonts w:ascii="Arial" w:cs="Arial" w:eastAsia="Arial" w:hAnsi="Arial"/>
          <w:sz w:val="32"/>
          <w:szCs w:val="32"/>
          <w:color w:val="808080"/>
        </w:rPr>
        <w:t>Stockholder Proposal on Termination Pay</w:t>
      </w:r>
    </w:p>
    <w:p>
      <w:pPr>
        <w:spacing w:after="0" w:line="221" w:lineRule="exact"/>
        <w:rPr>
          <w:sz w:val="20"/>
          <w:szCs w:val="20"/>
          <w:color w:val="auto"/>
        </w:rPr>
      </w:pPr>
    </w:p>
    <w:p>
      <w:pPr>
        <w:ind w:left="1" w:right="20"/>
        <w:spacing w:after="0" w:line="246" w:lineRule="auto"/>
        <w:rPr>
          <w:sz w:val="20"/>
          <w:szCs w:val="20"/>
          <w:color w:val="auto"/>
        </w:rPr>
      </w:pPr>
      <w:r>
        <w:rPr>
          <w:rFonts w:ascii="Arial" w:cs="Arial" w:eastAsia="Arial" w:hAnsi="Arial"/>
          <w:sz w:val="18"/>
          <w:szCs w:val="18"/>
          <w:color w:val="auto"/>
        </w:rPr>
        <w:t>John Chevedden, on behalf of Kenneth Steiner, has notified AbbVie that he intends to present the following proposal at the Annual Meeting and that Mr. Steiner owns the requisite number of AbbVie shares.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 Shareholder Ratification of Termination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148590</wp:posOffset>
            </wp:positionV>
            <wp:extent cx="1543050" cy="3086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 w:right="400"/>
        <w:spacing w:after="0"/>
        <w:rPr>
          <w:sz w:val="20"/>
          <w:szCs w:val="20"/>
          <w:color w:val="auto"/>
        </w:rPr>
      </w:pPr>
      <w:r>
        <w:rPr>
          <w:rFonts w:ascii="Arial" w:cs="Arial" w:eastAsia="Arial" w:hAnsi="Arial"/>
          <w:sz w:val="18"/>
          <w:szCs w:val="18"/>
          <w:color w:val="auto"/>
        </w:rPr>
        <w:t>Shareholders request that the Board seek shareholder approval of any senior manager’s new or renewed pay package that provides for severance or termination payments with an estimated value exceeding 2.99 times the sum of the executive’s base salary plus target short-term bonus.</w:t>
      </w:r>
    </w:p>
    <w:p>
      <w:pPr>
        <w:spacing w:after="0" w:line="203" w:lineRule="exact"/>
        <w:rPr>
          <w:sz w:val="20"/>
          <w:szCs w:val="20"/>
          <w:color w:val="auto"/>
        </w:rPr>
      </w:pPr>
    </w:p>
    <w:p>
      <w:pPr>
        <w:ind w:left="1" w:right="220"/>
        <w:spacing w:after="0" w:line="238" w:lineRule="auto"/>
        <w:rPr>
          <w:sz w:val="20"/>
          <w:szCs w:val="20"/>
          <w:color w:val="auto"/>
        </w:rPr>
      </w:pPr>
      <w:r>
        <w:rPr>
          <w:rFonts w:ascii="Arial" w:cs="Arial" w:eastAsia="Arial" w:hAnsi="Arial"/>
          <w:sz w:val="18"/>
          <w:szCs w:val="18"/>
          <w:color w:val="auto"/>
        </w:rPr>
        <w:t>“Severance or termination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205" w:lineRule="exact"/>
        <w:rPr>
          <w:sz w:val="20"/>
          <w:szCs w:val="20"/>
          <w:color w:val="auto"/>
        </w:rPr>
      </w:pPr>
    </w:p>
    <w:p>
      <w:pPr>
        <w:ind w:left="1" w:right="200"/>
        <w:spacing w:after="0" w:line="261" w:lineRule="auto"/>
        <w:rPr>
          <w:sz w:val="20"/>
          <w:szCs w:val="20"/>
          <w:color w:val="auto"/>
        </w:rPr>
      </w:pPr>
      <w:r>
        <w:rPr>
          <w:rFonts w:ascii="Arial" w:cs="Arial" w:eastAsia="Arial" w:hAnsi="Arial"/>
          <w:sz w:val="17"/>
          <w:szCs w:val="17"/>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Board shall retain the option to seek shareholder approval after material terms are agreed upon.</w:t>
      </w:r>
    </w:p>
    <w:p>
      <w:pPr>
        <w:spacing w:after="0" w:line="212" w:lineRule="exact"/>
        <w:rPr>
          <w:sz w:val="20"/>
          <w:szCs w:val="20"/>
          <w:color w:val="auto"/>
        </w:rPr>
      </w:pPr>
    </w:p>
    <w:p>
      <w:pPr>
        <w:ind w:left="1" w:right="200"/>
        <w:spacing w:after="0"/>
        <w:rPr>
          <w:sz w:val="20"/>
          <w:szCs w:val="20"/>
          <w:color w:val="auto"/>
        </w:rPr>
      </w:pPr>
      <w:r>
        <w:rPr>
          <w:rFonts w:ascii="Arial" w:cs="Arial" w:eastAsia="Arial" w:hAnsi="Arial"/>
          <w:sz w:val="18"/>
          <w:szCs w:val="18"/>
          <w:color w:val="auto"/>
        </w:rPr>
        <w:t>Generous performance-based pay can be good but shareholder ratification of “golden parachute” severance packages with a total cost exceeding 2.99 times base salary plus target bonus better aligns management pay with shareholder interests.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For instance at one company if the CEO is terminated without cause, whether or not his termination follows a change in control, he will receive an estimated $39 million in termination payments, nearly 7-times his 2019 base salary plus short-term bonus.</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It is in the best interest of ABBV shareholders to be protected from such lavish $39 million management termination packages for one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proposal topic won 58% support at the 2021 FedEx annual meeting.</w:t>
      </w:r>
    </w:p>
    <w:p>
      <w:pPr>
        <w:spacing w:after="0" w:line="21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Another incentive to adopt at least one good governance proposal at ABBV is that corporate governance and shareholder rights are a disaster at ABBV.</w:t>
      </w:r>
    </w:p>
    <w:p>
      <w:pPr>
        <w:spacing w:after="0" w:line="197"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Mr. Richard Gonzalez, Chairman and CEO, received 73 million negative votes at our 2021 annual meeting and was still elected for a 3-year term. Mr. Gonzalez thus has no worries about his performance until 2024. Management pay was rejected by 122 million negative votes.</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Shareholders cannot elect directors for one-year terms. There are undemocratic voting requirements of 80% for shareholders. The 80% voting requirements equal 117% vote requirements from the shares that cast ballots at our annual meeting. Shareholders have no right to call a special shareholder meeting. Shareholders cannot act by written consent.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vote yes:</w:t>
      </w:r>
    </w:p>
    <w:p>
      <w:pPr>
        <w:jc w:val="center"/>
        <w:spacing w:after="0"/>
        <w:rPr>
          <w:sz w:val="20"/>
          <w:szCs w:val="20"/>
          <w:color w:val="auto"/>
        </w:rPr>
      </w:pPr>
      <w:r>
        <w:rPr>
          <w:rFonts w:ascii="Arial" w:cs="Arial" w:eastAsia="Arial" w:hAnsi="Arial"/>
          <w:sz w:val="18"/>
          <w:szCs w:val="18"/>
          <w:b w:val="1"/>
          <w:bCs w:val="1"/>
          <w:color w:val="auto"/>
        </w:rPr>
        <w:t>Shareholder Ratification of Termination Pay – Proposal 6</w:t>
      </w:r>
    </w:p>
    <w:p>
      <w:pPr>
        <w:spacing w:after="0" w:line="200" w:lineRule="exact"/>
        <w:rPr>
          <w:sz w:val="20"/>
          <w:szCs w:val="20"/>
          <w:color w:val="auto"/>
        </w:rPr>
      </w:pPr>
    </w:p>
    <w:p>
      <w:pPr>
        <w:spacing w:after="0" w:line="205" w:lineRule="exact"/>
        <w:rPr>
          <w:sz w:val="20"/>
          <w:szCs w:val="20"/>
          <w:color w:val="auto"/>
        </w:rPr>
      </w:pPr>
    </w:p>
    <w:p>
      <w:pPr>
        <w:ind w:right="380"/>
        <w:spacing w:after="0" w:line="260" w:lineRule="auto"/>
        <w:rPr>
          <w:sz w:val="20"/>
          <w:szCs w:val="20"/>
          <w:color w:val="auto"/>
        </w:rPr>
      </w:pPr>
      <w:r>
        <w:rPr>
          <w:rFonts w:ascii="Arial" w:cs="Arial" w:eastAsia="Arial" w:hAnsi="Arial"/>
          <w:sz w:val="32"/>
          <w:szCs w:val="32"/>
          <w:color w:val="071D49"/>
        </w:rPr>
        <w:t>Board of Directors Statement in Opposition to the Stockholder Proposal on Termination Pay</w:t>
      </w:r>
    </w:p>
    <w:p>
      <w:pPr>
        <w:spacing w:after="0" w:line="14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Given AbbVie’s responsible executive compensation programs, existing safeguards, and robust shareholder input mechanisms, the proposal is not only unnecessary, but would also harm AbbVie’s and its shareholders’ long-term interests.</w:t>
      </w:r>
    </w:p>
    <w:p>
      <w:pPr>
        <w:spacing w:after="0" w:line="169"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b w:val="1"/>
          <w:bCs w:val="1"/>
          <w:color w:val="auto"/>
        </w:rPr>
        <w:t>In a competitive labor market, AbbVie needs to retain flexibility to attract and retain the talent critical to drive our long-term strategy, and the proposal would severely diminish AbbVie’s competitiveness as an employer.</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AbbVie’s ability to attract human capital is critical to our long-term success as a company. Like other companies of our size and in our industry, AbbVie has a large number of senior managers who are eligible for some type of change in control protection, which provides stability and retention, particularly during turbulent times. In the unlikely circumstance that AbbVie experiences a change of control and the employee is terminated or experiences a constructive termination (double-trigger), his or her severance would be made up of two components: (1) payment of one, two, or three times base salary and bonus (depending on seniority) and (2) accelerated vesting of outstanding AbbVie equity awards.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the proposal were adopted, it could mean that AbbVie would need to have a shareholder meeting every time the company seeks to hire a new senior manager, renew a senior manager’s change of control agreement, or grant any senior manager his or her annual equity award. This would be unmanageable and would effectively halt AbbVie’s hiring, promotion, and annual compensation process. Alternatively, eliminating change of control payments would severely hamper AbbVie’s competitiveness as an employer as such protection is consistent with both peers and common market practice.</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AbbVie’s compensation committee, which is made up entirely of independent directors, is tasked with designing the compensation programs necessary to attract and retain top-tier talent. The proposal would limit the committee’s discretion and take away its flexibility to tailor the company’s executive compensation programs to</w:t>
      </w:r>
    </w:p>
    <w:p>
      <w:pPr>
        <w:spacing w:after="0" w:line="200" w:lineRule="exact"/>
        <w:rPr>
          <w:sz w:val="20"/>
          <w:szCs w:val="20"/>
          <w:color w:val="auto"/>
        </w:rPr>
      </w:pPr>
    </w:p>
    <w:p>
      <w:pPr>
        <w:spacing w:after="0" w:line="218"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874395" cy="1625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530" w:right="1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meet the company’s needs at any given time. AbbVie already gathers significant shareholder feedback on its compensation practices, through its annual Say on Pay vote and its extensive investor engagement outreach program, which entails outreach to nearly 40% of outstanding shares each year. Therefore, the proposal is both unnecessary and harmful to shareholders’ long-term interests.</w:t>
      </w:r>
    </w:p>
    <w:p>
      <w:pPr>
        <w:spacing w:after="0" w:line="169" w:lineRule="exact"/>
        <w:rPr>
          <w:sz w:val="20"/>
          <w:szCs w:val="20"/>
          <w:color w:val="auto"/>
        </w:rPr>
      </w:pPr>
    </w:p>
    <w:p>
      <w:pPr>
        <w:ind w:right="560"/>
        <w:spacing w:after="0" w:line="247" w:lineRule="auto"/>
        <w:rPr>
          <w:sz w:val="20"/>
          <w:szCs w:val="20"/>
          <w:color w:val="auto"/>
        </w:rPr>
      </w:pPr>
      <w:r>
        <w:rPr>
          <w:rFonts w:ascii="Arial" w:cs="Arial" w:eastAsia="Arial" w:hAnsi="Arial"/>
          <w:sz w:val="18"/>
          <w:szCs w:val="18"/>
          <w:b w:val="1"/>
          <w:bCs w:val="1"/>
          <w:color w:val="auto"/>
        </w:rPr>
        <w:t>The concerns raised in the proposal are not applicable to AbbVie. AbbVie does not have employment agreements or severance agreements with any of its U.S. senior managers, and any severance or termination pay in connection with a change in control requires a double-trigger, consistent with best practices.</w:t>
      </w:r>
    </w:p>
    <w:p>
      <w:pPr>
        <w:spacing w:after="0" w:line="18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Because AbbVie does not have employment agreements or severance agreements with any of its U.S. senior managers, the only situation where a senior manager would be entitled to a severance or termination payment is in the unlikely event that AbbVie experiences a change of control (e.g., AbbVie is acquired by another company). If shareholders are already voting on the acquisition leading to a change in control, they would also automatically have the right to vote and therefore weigh in on any severance or termination payments. Examples of payments outside the change of control context, such as those cited by the proponent, are simply inapplicable to AbbVie.</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unlikely event of a change of control, AbbVie’s senior managers are entitled to a change of control payment only if two conditions are met: (1) AbbVie has undergone a change of control and (2) the senior manager loses his or her position. In other words, they are not automatically entitled to payment on any severance from a mere change of control (i.e., the provisions are “double-trigger”). AbbVie’s compensation committee benchmarks peer company compensation practices on an ongoing basis to ensure AbbVie’s programs remain consistent with market practice and effective at recruiting and retaining top talent. AbbVie’s approach to senior manager severance in connection with a change of control, like the rest of its compensation programs, are aligned with market practice and appropriate for a company of AbbVie’s size and industry. In particular, AbbVie’s change in control agreements do not and will not provide for a cash lump sum payment in excess of three times an executive’s annual salary and bonus.</w:t>
      </w:r>
    </w:p>
    <w:p>
      <w:pPr>
        <w:spacing w:after="0" w:line="19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Further, if adopted, the proposal may have the unintended consequence of disincentivizing transactions where equity awards are forfeited upon double-trigger termination, instead of acceleration. During a turbulent time, these benefits are designed to avoid distraction and allow all to focus on the best interests of AbbVie and its shareholders’ long-term interests. Adopting the proposal would therefore harm shareholders’ long-term interests.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200" w:lineRule="exact"/>
        <w:rPr>
          <w:sz w:val="20"/>
          <w:szCs w:val="20"/>
          <w:color w:val="auto"/>
        </w:rPr>
      </w:pPr>
    </w:p>
    <w:p>
      <w:pPr>
        <w:spacing w:after="0" w:line="227" w:lineRule="exact"/>
        <w:rPr>
          <w:sz w:val="20"/>
          <w:szCs w:val="20"/>
          <w:color w:val="auto"/>
        </w:rPr>
      </w:pPr>
    </w:p>
    <w:p>
      <w:pPr>
        <w:ind w:right="1420"/>
        <w:spacing w:after="0" w:line="260" w:lineRule="auto"/>
        <w:rPr>
          <w:sz w:val="20"/>
          <w:szCs w:val="20"/>
          <w:color w:val="auto"/>
        </w:rPr>
      </w:pPr>
      <w:r>
        <w:rPr>
          <w:rFonts w:ascii="Arial" w:cs="Arial" w:eastAsia="Arial" w:hAnsi="Arial"/>
          <w:sz w:val="32"/>
          <w:szCs w:val="32"/>
          <w:color w:val="808080"/>
        </w:rPr>
        <w:t>Stockholder Proposal on Report on Board Oversight of Competition Practices</w:t>
      </w:r>
    </w:p>
    <w:p>
      <w:pPr>
        <w:spacing w:after="0" w:line="170"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Friends Fiduciary Corporation and co-filers Trinity Health, Missionary Oblates of Mary Immaculate, Mercy Investment Services, Inc., Sisters of Charity of St. Elizabeth, Bon Secours Mercy Health, Inc., Sisters of Charity Blessed Virgin Mary, and CommonSpirit Health, have notified AbbVie that they intend to present the following proposal at the Annual Meeting and that they own the requisite number of AbbVie shares.</w:t>
      </w:r>
    </w:p>
    <w:p>
      <w:pPr>
        <w:spacing w:after="0" w:line="16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RESOLVED that shareholders of AbbVie Inc. ("AbbVie") ask the board of directors to report to shareholders on how it oversees risks related to anticompetitive practices, including whether the full board or board committee has oversight responsibility, whether and how consideration of such risks is incorporated into board deliberations regarding strategy, and the board's role in AbbVie's public policy activities related to such risks. The report should be prepared at reasonable expense and should omit confidential or proprietary information, as well as information about existing litigation and claims of which AbbVie has notice.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3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78" w:name="page79"/>
    <w:bookmarkEnd w:id="78"/>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STOCKHOLDER PROPOSALS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STATEMENT</w:t>
      </w:r>
    </w:p>
    <w:p>
      <w:pPr>
        <w:spacing w:after="0" w:line="234" w:lineRule="exact"/>
        <w:rPr>
          <w:sz w:val="20"/>
          <w:szCs w:val="20"/>
          <w:color w:val="auto"/>
        </w:rPr>
      </w:pPr>
    </w:p>
    <w:p>
      <w:pPr>
        <w:jc w:val="both"/>
        <w:ind w:left="1" w:right="80"/>
        <w:spacing w:after="0" w:line="251" w:lineRule="auto"/>
        <w:rPr>
          <w:sz w:val="20"/>
          <w:szCs w:val="20"/>
          <w:color w:val="auto"/>
        </w:rPr>
      </w:pPr>
      <w:r>
        <w:rPr>
          <w:rFonts w:ascii="Arial" w:cs="Arial" w:eastAsia="Arial" w:hAnsi="Arial"/>
          <w:sz w:val="18"/>
          <w:szCs w:val="18"/>
          <w:color w:val="auto"/>
        </w:rPr>
        <w:t>The anticompetitive practices of companies within the pharmaceutical supply chain, including drug developers such as AbbVie, are receiving increasing scrutiny from the public, regulators, and enforcers. The criticism of AbbVie has focused on the company's establishment of "patent thickets" around its drugs to prevent generic competition, some of which have resulted in massive price hikes for everyday consumers.</w:t>
      </w:r>
      <w:r>
        <w:rPr>
          <w:rFonts w:ascii="Arial" w:cs="Arial" w:eastAsia="Arial" w:hAnsi="Arial"/>
          <w:sz w:val="26"/>
          <w:szCs w:val="26"/>
          <w:color w:val="auto"/>
          <w:vertAlign w:val="superscript"/>
        </w:rPr>
        <w:t>i</w:t>
      </w:r>
    </w:p>
    <w:p>
      <w:pPr>
        <w:spacing w:after="0" w:line="64" w:lineRule="exact"/>
        <w:rPr>
          <w:sz w:val="20"/>
          <w:szCs w:val="20"/>
          <w:color w:val="auto"/>
        </w:rPr>
      </w:pPr>
    </w:p>
    <w:p>
      <w:pPr>
        <w:ind w:left="1"/>
        <w:spacing w:after="0" w:line="229" w:lineRule="auto"/>
        <w:rPr>
          <w:sz w:val="20"/>
          <w:szCs w:val="20"/>
          <w:color w:val="auto"/>
        </w:rPr>
      </w:pPr>
      <w:r>
        <w:rPr>
          <w:rFonts w:ascii="Arial" w:cs="Arial" w:eastAsia="Arial" w:hAnsi="Arial"/>
          <w:sz w:val="18"/>
          <w:szCs w:val="18"/>
          <w:color w:val="auto"/>
        </w:rPr>
        <w:t>Regulators and enforcers are increasingly focused on curbing this type of behavior. In May, then-acting Chairwoman of the Federal Trade Commission (FTC) Rebecca Kelly Slaughter stated that "[f]or decades, the FTC has challenged a number of illegal anticompetitive practices in the pharmaceutical industry that can lead to high drug prices. The Commission should consider ways to build on this work by addressing emerging and evolving practices that have the potential to harm consumers."</w:t>
      </w:r>
      <w:r>
        <w:rPr>
          <w:rFonts w:ascii="Arial" w:cs="Arial" w:eastAsia="Arial" w:hAnsi="Arial"/>
          <w:sz w:val="26"/>
          <w:szCs w:val="26"/>
          <w:color w:val="auto"/>
          <w:vertAlign w:val="superscript"/>
        </w:rPr>
        <w:t>ii</w:t>
      </w:r>
      <w:r>
        <w:rPr>
          <w:rFonts w:ascii="Arial" w:cs="Arial" w:eastAsia="Arial" w:hAnsi="Arial"/>
          <w:sz w:val="18"/>
          <w:szCs w:val="18"/>
          <w:color w:val="auto"/>
        </w:rPr>
        <w:t xml:space="preserve"> Furthermore, upon confirmation, newly appointed FTC Chair Lina Kahn directed FTC staff to ramp up investigations based on seven enforcement priorities, including healthcare and pharmaceutical companies</w:t>
      </w:r>
      <w:r>
        <w:rPr>
          <w:rFonts w:ascii="Arial" w:cs="Arial" w:eastAsia="Arial" w:hAnsi="Arial"/>
          <w:sz w:val="26"/>
          <w:szCs w:val="26"/>
          <w:color w:val="auto"/>
          <w:vertAlign w:val="superscript"/>
        </w:rPr>
        <w:t>.iii</w:t>
      </w:r>
    </w:p>
    <w:p>
      <w:pPr>
        <w:spacing w:after="0" w:line="75" w:lineRule="exact"/>
        <w:rPr>
          <w:sz w:val="20"/>
          <w:szCs w:val="20"/>
          <w:color w:val="auto"/>
        </w:rPr>
      </w:pPr>
    </w:p>
    <w:p>
      <w:pPr>
        <w:ind w:left="1" w:right="20"/>
        <w:spacing w:after="0" w:line="209" w:lineRule="auto"/>
        <w:rPr>
          <w:sz w:val="20"/>
          <w:szCs w:val="20"/>
          <w:color w:val="auto"/>
        </w:rPr>
      </w:pPr>
      <w:r>
        <w:rPr>
          <w:rFonts w:ascii="Arial" w:cs="Arial" w:eastAsia="Arial" w:hAnsi="Arial"/>
          <w:sz w:val="18"/>
          <w:szCs w:val="18"/>
          <w:color w:val="auto"/>
        </w:rPr>
        <w:t>We are concerned over the growing risk associated with AbbVie's reliance on creating "patent thickets" and entering "pay-for-delay" settlements. AbbVie has been scrutinized for its practices surrounding Humira and lmbruvica, which were the subject of a 2021 drug pricing investigation and report published by the U.S. House Committee on Oversight and Reform.</w:t>
      </w:r>
      <w:r>
        <w:rPr>
          <w:rFonts w:ascii="Arial" w:cs="Arial" w:eastAsia="Arial" w:hAnsi="Arial"/>
          <w:sz w:val="26"/>
          <w:szCs w:val="26"/>
          <w:color w:val="auto"/>
          <w:vertAlign w:val="superscript"/>
        </w:rPr>
        <w:t>vi</w:t>
      </w:r>
      <w:r>
        <w:rPr>
          <w:rFonts w:ascii="Arial" w:cs="Arial" w:eastAsia="Arial" w:hAnsi="Arial"/>
          <w:sz w:val="18"/>
          <w:szCs w:val="18"/>
          <w:color w:val="auto"/>
        </w:rPr>
        <w:t xml:space="preserve"> The report details that AbbVie has applied for over 250 patents on Humira, with 90% of these applications filed after Humira was already approved, "suggesting that they were intended to block competition."</w:t>
      </w:r>
      <w:r>
        <w:rPr>
          <w:rFonts w:ascii="Arial" w:cs="Arial" w:eastAsia="Arial" w:hAnsi="Arial"/>
          <w:sz w:val="26"/>
          <w:szCs w:val="26"/>
          <w:color w:val="auto"/>
          <w:vertAlign w:val="superscript"/>
        </w:rPr>
        <w:t>v</w:t>
      </w:r>
      <w:r>
        <w:rPr>
          <w:rFonts w:ascii="Arial" w:cs="Arial" w:eastAsia="Arial" w:hAnsi="Arial"/>
          <w:sz w:val="18"/>
          <w:szCs w:val="18"/>
          <w:color w:val="auto"/>
        </w:rPr>
        <w:t xml:space="preserve"> The report also questions whether AbbVie transferred items of value to competitors in exchange for them staying off the market, a violation of U.S. antitrust law.</w:t>
      </w:r>
      <w:r>
        <w:rPr>
          <w:rFonts w:ascii="Arial" w:cs="Arial" w:eastAsia="Arial" w:hAnsi="Arial"/>
          <w:sz w:val="26"/>
          <w:szCs w:val="26"/>
          <w:color w:val="auto"/>
          <w:vertAlign w:val="superscript"/>
        </w:rPr>
        <w:t>vi</w:t>
      </w:r>
      <w:r>
        <w:rPr>
          <w:rFonts w:ascii="Arial" w:cs="Arial" w:eastAsia="Arial" w:hAnsi="Arial"/>
          <w:sz w:val="18"/>
          <w:szCs w:val="18"/>
          <w:color w:val="auto"/>
        </w:rPr>
        <w:t xml:space="preserve"> These drugs represent nearly 55% of AbbVie's 2020 net revenue.</w:t>
      </w:r>
      <w:r>
        <w:rPr>
          <w:rFonts w:ascii="Arial" w:cs="Arial" w:eastAsia="Arial" w:hAnsi="Arial"/>
          <w:sz w:val="26"/>
          <w:szCs w:val="26"/>
          <w:color w:val="auto"/>
          <w:vertAlign w:val="superscript"/>
        </w:rPr>
        <w:t>vii</w:t>
      </w:r>
    </w:p>
    <w:p>
      <w:pPr>
        <w:spacing w:after="0" w:line="74" w:lineRule="exact"/>
        <w:rPr>
          <w:sz w:val="20"/>
          <w:szCs w:val="20"/>
          <w:color w:val="auto"/>
        </w:rPr>
      </w:pPr>
    </w:p>
    <w:p>
      <w:pPr>
        <w:ind w:left="1" w:right="40"/>
        <w:spacing w:after="0" w:line="238" w:lineRule="auto"/>
        <w:rPr>
          <w:sz w:val="20"/>
          <w:szCs w:val="20"/>
          <w:color w:val="auto"/>
        </w:rPr>
      </w:pPr>
      <w:r>
        <w:rPr>
          <w:rFonts w:ascii="Arial" w:cs="Arial" w:eastAsia="Arial" w:hAnsi="Arial"/>
          <w:sz w:val="18"/>
          <w:szCs w:val="18"/>
          <w:color w:val="auto"/>
        </w:rPr>
        <w:t>AbbVie is facing mounting pressure related to the company's anticompetitive practices. This pressure can increase the likelihood new regulation and increases risk for investors. Given this widespread concern and the rapidly changing environment, we believe that robust board oversight would improve AbbVie's management of risks related to anticompetitive practices and that shareholders would benefit from more information about the board's role.</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8"/>
          <w:szCs w:val="18"/>
          <w:color w:val="auto"/>
        </w:rPr>
        <w:t>We therefore urge shareholders to vote FOR this proposal.</w:t>
      </w:r>
    </w:p>
    <w:p>
      <w:pPr>
        <w:ind w:left="1"/>
        <w:spacing w:after="0" w:line="233" w:lineRule="auto"/>
        <w:rPr>
          <w:sz w:val="20"/>
          <w:szCs w:val="20"/>
          <w:color w:val="auto"/>
        </w:rPr>
      </w:pPr>
      <w:r>
        <w:rPr>
          <w:rFonts w:ascii="Arial" w:cs="Arial" w:eastAsia="Arial" w:hAnsi="Arial"/>
          <w:sz w:val="18"/>
          <w:szCs w:val="18"/>
          <w:b w:val="1"/>
          <w:bCs w:val="1"/>
          <w:color w:val="auto"/>
        </w:rPr>
        <w:t>_______________________</w:t>
      </w:r>
    </w:p>
    <w:p>
      <w:pPr>
        <w:ind w:left="1" w:right="260" w:hanging="1"/>
        <w:spacing w:after="0" w:line="199" w:lineRule="auto"/>
        <w:tabs>
          <w:tab w:leader="none" w:pos="73" w:val="left"/>
        </w:tabs>
        <w:numPr>
          <w:ilvl w:val="0"/>
          <w:numId w:val="84"/>
        </w:numPr>
        <w:rPr>
          <w:rFonts w:ascii="Arial" w:cs="Arial" w:eastAsia="Arial" w:hAnsi="Arial"/>
          <w:sz w:val="24"/>
          <w:szCs w:val="24"/>
          <w:color w:val="auto"/>
          <w:vertAlign w:val="superscript"/>
        </w:rPr>
      </w:pPr>
      <w:r>
        <w:rPr>
          <w:rFonts w:ascii="Arial" w:cs="Arial" w:eastAsia="Arial" w:hAnsi="Arial"/>
          <w:sz w:val="16"/>
          <w:szCs w:val="16"/>
          <w:i w:val="1"/>
          <w:iCs w:val="1"/>
          <w:color w:val="auto"/>
        </w:rPr>
        <w:t xml:space="preserve">Overpatented, Overpriced: How Excessive Pharmaceutical Patenting is Extending Monopolies and Driving up Drug Prices, </w:t>
      </w:r>
      <w:r>
        <w:rPr>
          <w:rFonts w:ascii="Arial" w:cs="Arial" w:eastAsia="Arial" w:hAnsi="Arial"/>
          <w:sz w:val="16"/>
          <w:szCs w:val="16"/>
          <w:color w:val="auto"/>
        </w:rPr>
        <w:t>I-MAK, 2019 (https://www.i-mak.org/wp-content/uploads/2019/01/i-mak.overpatented.overpriced.report.0801.pdf).</w:t>
      </w:r>
    </w:p>
    <w:p>
      <w:pPr>
        <w:ind w:left="1" w:right="640"/>
        <w:spacing w:after="0" w:line="213" w:lineRule="auto"/>
        <w:rPr>
          <w:rFonts w:ascii="Arial" w:cs="Arial" w:eastAsia="Arial" w:hAnsi="Arial"/>
          <w:sz w:val="24"/>
          <w:szCs w:val="24"/>
          <w:color w:val="auto"/>
          <w:vertAlign w:val="superscript"/>
        </w:rPr>
      </w:pPr>
      <w:r>
        <w:rPr>
          <w:rFonts w:ascii="Arial" w:cs="Arial" w:eastAsia="Arial" w:hAnsi="Arial"/>
          <w:sz w:val="22"/>
          <w:szCs w:val="22"/>
          <w:color w:val="auto"/>
          <w:vertAlign w:val="superscript"/>
        </w:rPr>
        <w:t>ii</w:t>
      </w:r>
      <w:r>
        <w:rPr>
          <w:rFonts w:ascii="Arial" w:cs="Arial" w:eastAsia="Arial" w:hAnsi="Arial"/>
          <w:sz w:val="15"/>
          <w:szCs w:val="15"/>
          <w:color w:val="auto"/>
        </w:rPr>
        <w:t xml:space="preserve"> https://www.ftc.gov/pubIic-statements/2021/05/statement-acting-chairwoman-rebecca-kelly-sIaughter-regarding-federal </w:t>
      </w:r>
      <w:r>
        <w:rPr>
          <w:rFonts w:ascii="Arial" w:cs="Arial" w:eastAsia="Arial" w:hAnsi="Arial"/>
          <w:sz w:val="22"/>
          <w:szCs w:val="22"/>
          <w:color w:val="auto"/>
          <w:vertAlign w:val="superscript"/>
        </w:rPr>
        <w:t>iii</w:t>
      </w:r>
      <w:r>
        <w:rPr>
          <w:rFonts w:ascii="Arial" w:cs="Arial" w:eastAsia="Arial" w:hAnsi="Arial"/>
          <w:sz w:val="15"/>
          <w:szCs w:val="15"/>
          <w:color w:val="auto"/>
        </w:rPr>
        <w:t xml:space="preserve"> https://endpts.com/pharma-in-the-crosshairs-how-the-ftc-is-expanding-its-antitrust-powers-under-its-new-chair/</w:t>
      </w:r>
    </w:p>
    <w:p>
      <w:pPr>
        <w:ind w:left="1" w:right="460"/>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iv</w:t>
      </w:r>
      <w:r>
        <w:rPr>
          <w:rFonts w:ascii="Arial" w:cs="Arial" w:eastAsia="Arial" w:hAnsi="Arial"/>
          <w:sz w:val="16"/>
          <w:szCs w:val="16"/>
          <w:i w:val="1"/>
          <w:iCs w:val="1"/>
          <w:color w:val="auto"/>
        </w:rPr>
        <w:t xml:space="preserve"> Drug Pricing Investigation AbbVie-Humira and lmbruvica, </w:t>
      </w:r>
      <w:r>
        <w:rPr>
          <w:rFonts w:ascii="Arial" w:cs="Arial" w:eastAsia="Arial" w:hAnsi="Arial"/>
          <w:sz w:val="16"/>
          <w:szCs w:val="16"/>
          <w:color w:val="auto"/>
        </w:rPr>
        <w:t>U.S. House of Representatives Staff Report, May 2021,</w:t>
      </w:r>
      <w:r>
        <w:rPr>
          <w:rFonts w:ascii="Arial" w:cs="Arial" w:eastAsia="Arial" w:hAnsi="Arial"/>
          <w:sz w:val="16"/>
          <w:szCs w:val="16"/>
          <w:i w:val="1"/>
          <w:iCs w:val="1"/>
          <w:color w:val="auto"/>
        </w:rPr>
        <w:t xml:space="preserve"> </w:t>
      </w:r>
      <w:r>
        <w:rPr>
          <w:rFonts w:ascii="Arial" w:cs="Arial" w:eastAsia="Arial" w:hAnsi="Arial"/>
          <w:sz w:val="16"/>
          <w:szCs w:val="16"/>
          <w:color w:val="auto"/>
        </w:rPr>
        <w:t>https://oversight.house.gov</w:t>
      </w:r>
      <w:r>
        <w:rPr>
          <w:rFonts w:ascii="Arial" w:cs="Arial" w:eastAsia="Arial" w:hAnsi="Arial"/>
          <w:sz w:val="16"/>
          <w:szCs w:val="16"/>
          <w:i w:val="1"/>
          <w:iCs w:val="1"/>
          <w:color w:val="auto"/>
        </w:rPr>
        <w:t>I</w:t>
      </w:r>
      <w:r>
        <w:rPr>
          <w:rFonts w:ascii="Arial" w:cs="Arial" w:eastAsia="Arial" w:hAnsi="Arial"/>
          <w:sz w:val="16"/>
          <w:szCs w:val="16"/>
          <w:color w:val="auto"/>
        </w:rPr>
        <w:t>news/press-releases/chairwoman-maIoney-releases-staff-report-and-new-documents-showing-abusive-drug.</w:t>
      </w:r>
    </w:p>
    <w:p>
      <w:pPr>
        <w:ind w:left="1" w:right="8580"/>
        <w:spacing w:after="0" w:line="187" w:lineRule="auto"/>
        <w:rPr>
          <w:rFonts w:ascii="Arial" w:cs="Arial" w:eastAsia="Arial" w:hAnsi="Arial"/>
          <w:sz w:val="24"/>
          <w:szCs w:val="24"/>
          <w:color w:val="auto"/>
          <w:vertAlign w:val="superscript"/>
        </w:rPr>
      </w:pPr>
      <w:r>
        <w:rPr>
          <w:rFonts w:ascii="Arial" w:cs="Arial" w:eastAsia="Arial" w:hAnsi="Arial"/>
          <w:sz w:val="21"/>
          <w:szCs w:val="21"/>
          <w:color w:val="auto"/>
          <w:vertAlign w:val="superscript"/>
        </w:rPr>
        <w:t>v</w:t>
      </w:r>
      <w:r>
        <w:rPr>
          <w:rFonts w:ascii="Arial" w:cs="Arial" w:eastAsia="Arial" w:hAnsi="Arial"/>
          <w:sz w:val="14"/>
          <w:szCs w:val="14"/>
          <w:color w:val="auto"/>
        </w:rPr>
        <w:t xml:space="preserve"> </w:t>
      </w:r>
      <w:r>
        <w:rPr>
          <w:rFonts w:ascii="Arial" w:cs="Arial" w:eastAsia="Arial" w:hAnsi="Arial"/>
          <w:sz w:val="14"/>
          <w:szCs w:val="14"/>
          <w:u w:val="single" w:color="auto"/>
          <w:color w:val="auto"/>
        </w:rPr>
        <w:t>Id</w:t>
      </w:r>
      <w:r>
        <w:rPr>
          <w:rFonts w:ascii="Arial" w:cs="Arial" w:eastAsia="Arial" w:hAnsi="Arial"/>
          <w:sz w:val="14"/>
          <w:szCs w:val="14"/>
          <w:color w:val="auto"/>
        </w:rPr>
        <w:t xml:space="preserve">. at i. </w:t>
      </w:r>
      <w:r>
        <w:rPr>
          <w:rFonts w:ascii="Arial" w:cs="Arial" w:eastAsia="Arial" w:hAnsi="Arial"/>
          <w:sz w:val="21"/>
          <w:szCs w:val="21"/>
          <w:color w:val="auto"/>
          <w:vertAlign w:val="superscript"/>
        </w:rPr>
        <w:t>vi</w:t>
      </w:r>
      <w:r>
        <w:rPr>
          <w:rFonts w:ascii="Arial" w:cs="Arial" w:eastAsia="Arial" w:hAnsi="Arial"/>
          <w:sz w:val="14"/>
          <w:szCs w:val="14"/>
          <w:color w:val="auto"/>
        </w:rPr>
        <w:t xml:space="preserve"> </w:t>
      </w:r>
      <w:r>
        <w:rPr>
          <w:rFonts w:ascii="Arial" w:cs="Arial" w:eastAsia="Arial" w:hAnsi="Arial"/>
          <w:sz w:val="14"/>
          <w:szCs w:val="14"/>
          <w:u w:val="single" w:color="auto"/>
          <w:color w:val="auto"/>
        </w:rPr>
        <w:t>Id</w:t>
      </w:r>
      <w:r>
        <w:rPr>
          <w:rFonts w:ascii="Arial" w:cs="Arial" w:eastAsia="Arial" w:hAnsi="Arial"/>
          <w:sz w:val="14"/>
          <w:szCs w:val="14"/>
          <w:color w:val="auto"/>
        </w:rPr>
        <w:t>. at v.</w:t>
      </w:r>
    </w:p>
    <w:p>
      <w:pPr>
        <w:spacing w:after="0" w:line="1" w:lineRule="exact"/>
        <w:rPr>
          <w:rFonts w:ascii="Arial" w:cs="Arial" w:eastAsia="Arial" w:hAnsi="Arial"/>
          <w:sz w:val="24"/>
          <w:szCs w:val="24"/>
          <w:color w:val="auto"/>
          <w:vertAlign w:val="superscript"/>
        </w:rPr>
      </w:pPr>
    </w:p>
    <w:p>
      <w:pPr>
        <w:ind w:left="1"/>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vii</w:t>
      </w:r>
      <w:r>
        <w:rPr>
          <w:rFonts w:ascii="Arial" w:cs="Arial" w:eastAsia="Arial" w:hAnsi="Arial"/>
          <w:sz w:val="16"/>
          <w:szCs w:val="16"/>
          <w:color w:val="auto"/>
        </w:rPr>
        <w:t xml:space="preserve"> AbbVie 2020 Form 10-K, at 46-47 (https://investors.abbvie.com/static-files/47512e94-a9a4-4035-8dbc-6eb59116bb05).</w:t>
      </w:r>
    </w:p>
    <w:p>
      <w:pPr>
        <w:spacing w:after="0" w:line="320" w:lineRule="exact"/>
        <w:rPr>
          <w:sz w:val="20"/>
          <w:szCs w:val="20"/>
          <w:color w:val="auto"/>
        </w:rPr>
      </w:pPr>
    </w:p>
    <w:p>
      <w:pPr>
        <w:ind w:left="1" w:right="380"/>
        <w:spacing w:after="0" w:line="253" w:lineRule="auto"/>
        <w:rPr>
          <w:sz w:val="20"/>
          <w:szCs w:val="20"/>
          <w:color w:val="auto"/>
        </w:rPr>
      </w:pPr>
      <w:r>
        <w:rPr>
          <w:rFonts w:ascii="Arial" w:cs="Arial" w:eastAsia="Arial" w:hAnsi="Arial"/>
          <w:sz w:val="32"/>
          <w:szCs w:val="32"/>
          <w:color w:val="071D49"/>
        </w:rPr>
        <w:t>Board of Directors Statement in Opposition to the Stockholder Proposal on Report on Board Oversight of Competition Practices</w:t>
      </w:r>
    </w:p>
    <w:p>
      <w:pPr>
        <w:spacing w:after="0" w:line="160" w:lineRule="exact"/>
        <w:rPr>
          <w:sz w:val="20"/>
          <w:szCs w:val="20"/>
          <w:color w:val="auto"/>
        </w:rPr>
      </w:pPr>
    </w:p>
    <w:p>
      <w:pPr>
        <w:ind w:left="1" w:right="60"/>
        <w:spacing w:after="0" w:line="253"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Given AbbVie’s commitment to acting ethically in all aspects of our business and the board’s existing robust oversight responsibilities, the report requested in the proposal is unnecessary and redundant of existing oversight disclosures.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AbbVie prioritizes ethical behavior in all aspects of our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874395" cy="1625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Acting with Integrity is one of the five AbbVie Principles, which are foundational to who we are as a company. This includes acting in compliance with all applicable laws and regulations, as well as conduct consistent with our commitment to honesty, fairness, and integrity, in every aspect of our business. This commitment to acting ethically is reinforced in numerous ways throughout our company, including in the AbbVie Code of Business Conduct, which explicitly requires compliance with competition rules. Employees certify compliance with the Code on an annual basis and receive annual ethics and competition training.</w:t>
      </w:r>
    </w:p>
    <w:p>
      <w:pPr>
        <w:spacing w:after="0" w:line="20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AbbVie’s ethical decision-making extends to our intellectual property, including our patent portfolio, which is the result of meaningful innovation and investment in our life-changing medicines. Each year, AbbVie’s medicines treat over 50 million people across over 60 conditions, and since our inception as an independent company in 2013, we have invested over $50 billion in research and development. The patents granted related to these innovations undergo a rigorous review by the patent office and reflect novel innovation.</w:t>
      </w:r>
    </w:p>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AbbVie similarly acts responsibly regarding all pricing and access decisions, ensuring that patients have access to quality and affordable medicines. We utilize a number of strategies to ensure access, including pricing and reimbursement models, patient assistance programs, intellectual property licensing, and product donation.</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The board of directors already exercises robust oversight of AbbVie’s compliance with legal and regulatory requirements.</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outlined in our public governance documents, the board and its committees exercise robust oversight of AbbVie’s compliance with legal and regulatory requirements. For example, as stated elsewhere in this proxy statement, “[t]he board has risk oversight responsibility for AbbVie and administers this responsibility both directly and with assistance from its committees. . . . AbbVie’s risk management program focuses on issues relevant to AbbVie’s business, reputation, and strategy, including but not limited to pipeline advancement, healthcare industry dynamics such as pricing and patient access, manufacturing, regulatory and compliance matters, and others.”</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outlined in the public policy committee charter, the committee exercises oversight of AbbVie’s “compliance program with respect to legal and regulatory requirements (including, but not limited to, policies related to healthcare compliance, product quality, environmental regulations, employee health &amp; safety and compliance with the U.S. Foreign Corrupt Practices Act of 1977, as amended).”</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Examples of this board and committee oversight include, for example, reviewing AbbVie’s intellectual property strategy, receiving updates on certain patent settlements, and reviewing access and pricing developments, including impact on our short- and long-term business. Given this existing oversight, as well as AbbVie’s commitment to acting with integrity in all aspects of our business, the proposal would not add value and is unnecessary.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32"/>
          <w:szCs w:val="32"/>
          <w:color w:val="808080"/>
        </w:rPr>
        <w:t>Stockholder Proposal on Political Spending</w:t>
      </w:r>
    </w:p>
    <w:p>
      <w:pPr>
        <w:spacing w:after="0" w:line="22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You Sow, on behalf of Eliana Fishman, has notified AbbVie that they intend to present the following proposal at the Annual Meeting and that Ms. Fishman owns the requisite number of AbbVie shares.</w:t>
      </w:r>
    </w:p>
    <w:p>
      <w:pPr>
        <w:spacing w:after="0" w:line="13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political expenditures of AbbVie Inc. appear to be misaligned with the company's publicly stated</w:t>
      </w:r>
      <w:r>
        <w:rPr>
          <w:rFonts w:ascii="Arial" w:cs="Arial" w:eastAsia="Arial" w:hAnsi="Arial"/>
          <w:sz w:val="18"/>
          <w:szCs w:val="18"/>
          <w:b w:val="1"/>
          <w:bCs w:val="1"/>
          <w:color w:val="auto"/>
        </w:rPr>
        <w:t xml:space="preserve"> </w:t>
      </w:r>
      <w:r>
        <w:rPr>
          <w:rFonts w:ascii="Arial" w:cs="Arial" w:eastAsia="Arial" w:hAnsi="Arial"/>
          <w:sz w:val="18"/>
          <w:szCs w:val="18"/>
          <w:color w:val="auto"/>
        </w:rPr>
        <w:t>values and vision across a number of issue areas.</w:t>
      </w:r>
    </w:p>
    <w:p>
      <w:pPr>
        <w:spacing w:after="0" w:line="176" w:lineRule="exact"/>
        <w:rPr>
          <w:sz w:val="20"/>
          <w:szCs w:val="20"/>
          <w:color w:val="auto"/>
        </w:rPr>
      </w:pPr>
    </w:p>
    <w:p>
      <w:pPr>
        <w:ind w:right="80"/>
        <w:spacing w:after="0" w:line="218" w:lineRule="auto"/>
        <w:rPr>
          <w:sz w:val="20"/>
          <w:szCs w:val="20"/>
          <w:color w:val="auto"/>
        </w:rPr>
      </w:pPr>
      <w:r>
        <w:rPr>
          <w:rFonts w:ascii="Arial" w:cs="Arial" w:eastAsia="Arial" w:hAnsi="Arial"/>
          <w:sz w:val="18"/>
          <w:szCs w:val="18"/>
          <w:color w:val="auto"/>
        </w:rPr>
        <w:t>AbbVie states that it believes climate change impacts human health, and has committed to joining the Science Based Targets initiative, which supports limiting global temperature rise to no more than 1.5°C in line with the Paris Climate Agreement.</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Yet AbbVie is a member of the U.S. Chamber of Commerce, which has consistently lobbied to roll back U.S. climate regulation and promoted regulations that would slow the transition towards a low carbon energy mix.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80" w:name="page81"/>
    <w:bookmarkEnd w:id="80"/>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left="1"/>
        <w:spacing w:after="0" w:line="210" w:lineRule="auto"/>
        <w:rPr>
          <w:sz w:val="20"/>
          <w:szCs w:val="20"/>
          <w:color w:val="auto"/>
        </w:rPr>
      </w:pPr>
      <w:r>
        <w:rPr>
          <w:rFonts w:ascii="Arial" w:cs="Arial" w:eastAsia="Arial" w:hAnsi="Arial"/>
          <w:sz w:val="18"/>
          <w:szCs w:val="18"/>
          <w:color w:val="auto"/>
        </w:rPr>
        <w:t>AbbVie has stated "We are committed to equity, equality, diversity and inclusion ("EED&amp;I"). It's fundamental to who we are and it's just how we 'do good business."' AbbVie has also written "EED&amp;I is good for our people and patients, and also for our business--strengthening performance, helping us innovate and understand our customers, and retaining the best talent."</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However, AbbVie also supported multiple trade associations that have supported and promoted voter suppression laws.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Further, in the 2016 - 2020 election cycles, AbbVie and its employee PACs donated at least $1,068,050 to politicians and political organizations working to weaken women's access to reproductive health care.</w:t>
      </w:r>
    </w:p>
    <w:p>
      <w:pPr>
        <w:spacing w:after="0" w:line="205" w:lineRule="exact"/>
        <w:rPr>
          <w:sz w:val="20"/>
          <w:szCs w:val="20"/>
          <w:color w:val="auto"/>
        </w:rPr>
      </w:pPr>
    </w:p>
    <w:p>
      <w:pPr>
        <w:jc w:val="both"/>
        <w:ind w:left="1" w:right="220"/>
        <w:spacing w:after="0" w:line="215" w:lineRule="auto"/>
        <w:rPr>
          <w:sz w:val="20"/>
          <w:szCs w:val="20"/>
          <w:color w:val="auto"/>
        </w:rPr>
      </w:pPr>
      <w:r>
        <w:rPr>
          <w:rFonts w:ascii="Arial" w:cs="Arial" w:eastAsia="Arial" w:hAnsi="Arial"/>
          <w:sz w:val="18"/>
          <w:szCs w:val="18"/>
          <w:color w:val="auto"/>
        </w:rPr>
        <w:t>AbbVie has stated that "[W]e believe patients need access to quality and affordable medicines. Improving health outcomes for patients around the world is one of AbbVie's corporate responsibility commitments and is integral to our core business strategy."</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However, AbbVie contributes to ("PhRMA"), which supports numerous organizations opposing efforts to reform drug pricing.</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To minimize possible missteps and risk to the firm's reputation and brand, AbbVie should establish clear policies and reporting on corporate electioneering and political spending that contrast with its stated healthcare, social and environmental objectives.</w:t>
      </w:r>
    </w:p>
    <w:p>
      <w:pPr>
        <w:spacing w:after="0" w:line="181" w:lineRule="exact"/>
        <w:rPr>
          <w:sz w:val="20"/>
          <w:szCs w:val="20"/>
          <w:color w:val="auto"/>
        </w:rPr>
      </w:pPr>
    </w:p>
    <w:p>
      <w:pPr>
        <w:ind w:left="1" w:right="12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AbbVie annually analyze and report, at reasonable expense, the congruence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political, lobbying, and electioneering expenditures during the preceding year against its publicly stated company values and policies, listing and explaining instances of incongruent expenditures, and stating whether the identified incongruencies have or will lead to a change in future expenditures or contributions.</w:t>
      </w:r>
    </w:p>
    <w:p>
      <w:pPr>
        <w:spacing w:after="0" w:line="174" w:lineRule="exact"/>
        <w:rPr>
          <w:sz w:val="20"/>
          <w:szCs w:val="20"/>
          <w:color w:val="auto"/>
        </w:rPr>
      </w:pPr>
    </w:p>
    <w:p>
      <w:pPr>
        <w:ind w:left="1" w:right="300"/>
        <w:spacing w:after="0" w:line="242"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recommend, at management discretion, that the report also contain an</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of risks to our company's brand, reputation, or shareholder value of expenditures in conflict with publicly stated company values. "Expenditures for electioneering communications" means spending, from the corporate treasury and from its PACs, during the year, directly or through third parties, in printed, internet, or broadcast communications, which are reasonably susceptible to interpretation as being in support of or in opposition to a specific candidate.</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_______________________</w:t>
      </w:r>
    </w:p>
    <w:p>
      <w:pPr>
        <w:ind w:left="121" w:hanging="121"/>
        <w:spacing w:after="0" w:line="181" w:lineRule="auto"/>
        <w:tabs>
          <w:tab w:leader="none" w:pos="121" w:val="left"/>
        </w:tabs>
        <w:numPr>
          <w:ilvl w:val="0"/>
          <w:numId w:val="85"/>
        </w:numPr>
        <w:rPr>
          <w:rFonts w:ascii="Arial" w:cs="Arial" w:eastAsia="Arial" w:hAnsi="Arial"/>
          <w:sz w:val="24"/>
          <w:szCs w:val="24"/>
          <w:color w:val="auto"/>
          <w:vertAlign w:val="superscript"/>
        </w:rPr>
      </w:pPr>
      <w:r>
        <w:rPr>
          <w:rFonts w:ascii="Arial" w:cs="Arial" w:eastAsia="Arial" w:hAnsi="Arial"/>
          <w:sz w:val="16"/>
          <w:szCs w:val="16"/>
          <w:color w:val="auto"/>
        </w:rPr>
        <w:t>https://www.abbvie.com/content/dam/abbvie-dotcom/upIoads/PDFs/societaI-impact/abbvie-esg-action-report.pdf</w:t>
      </w:r>
    </w:p>
    <w:p>
      <w:pPr>
        <w:spacing w:after="0" w:line="1" w:lineRule="exact"/>
        <w:rPr>
          <w:rFonts w:ascii="Arial" w:cs="Arial" w:eastAsia="Arial" w:hAnsi="Arial"/>
          <w:sz w:val="24"/>
          <w:szCs w:val="24"/>
          <w:color w:val="auto"/>
          <w:vertAlign w:val="superscript"/>
        </w:rPr>
      </w:pPr>
    </w:p>
    <w:p>
      <w:pPr>
        <w:ind w:left="1"/>
        <w:spacing w:after="0" w:line="187" w:lineRule="auto"/>
        <w:rPr>
          <w:rFonts w:ascii="Arial" w:cs="Arial" w:eastAsia="Arial" w:hAnsi="Arial"/>
          <w:sz w:val="24"/>
          <w:szCs w:val="24"/>
          <w:color w:val="auto"/>
          <w:vertAlign w:val="superscript"/>
        </w:rPr>
      </w:pPr>
      <w:r>
        <w:rPr>
          <w:rFonts w:ascii="Arial" w:cs="Arial" w:eastAsia="Arial" w:hAnsi="Arial"/>
          <w:sz w:val="21"/>
          <w:szCs w:val="21"/>
          <w:color w:val="auto"/>
          <w:vertAlign w:val="superscript"/>
        </w:rPr>
        <w:t>2</w:t>
      </w:r>
      <w:r>
        <w:rPr>
          <w:rFonts w:ascii="Arial" w:cs="Arial" w:eastAsia="Arial" w:hAnsi="Arial"/>
          <w:sz w:val="14"/>
          <w:szCs w:val="14"/>
          <w:color w:val="auto"/>
        </w:rPr>
        <w:t xml:space="preserve"> https://www.abbvie.com/our-company/equality-inclusion-diversity.html</w:t>
      </w:r>
    </w:p>
    <w:p>
      <w:pPr>
        <w:ind w:left="1"/>
        <w:spacing w:after="0" w:line="187" w:lineRule="auto"/>
        <w:rPr>
          <w:rFonts w:ascii="Arial" w:cs="Arial" w:eastAsia="Arial" w:hAnsi="Arial"/>
          <w:sz w:val="24"/>
          <w:szCs w:val="24"/>
          <w:color w:val="auto"/>
          <w:vertAlign w:val="superscript"/>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https://www.politicalaccountability.net/wp-content/uploads/2021/07/Corporate-Enablers.pdf</w:t>
      </w:r>
    </w:p>
    <w:p>
      <w:pPr>
        <w:ind w:left="1"/>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6"/>
          <w:szCs w:val="16"/>
          <w:color w:val="auto"/>
        </w:rPr>
        <w:t xml:space="preserve"> https://www.abbvie.com/content/dam/abbvie-dotcom/uploads/PDFs/our-commitment-to-access-to-medicines-2.pdf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-90170</wp:posOffset>
            </wp:positionV>
            <wp:extent cx="260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00" w:lineRule="exact"/>
        <w:rPr>
          <w:sz w:val="20"/>
          <w:szCs w:val="20"/>
          <w:color w:val="auto"/>
        </w:rPr>
      </w:pPr>
    </w:p>
    <w:p>
      <w:pPr>
        <w:ind w:left="1" w:right="380"/>
        <w:spacing w:after="0" w:line="260" w:lineRule="auto"/>
        <w:rPr>
          <w:sz w:val="20"/>
          <w:szCs w:val="20"/>
          <w:color w:val="auto"/>
        </w:rPr>
      </w:pPr>
      <w:r>
        <w:rPr>
          <w:rFonts w:ascii="Arial" w:cs="Arial" w:eastAsia="Arial" w:hAnsi="Arial"/>
          <w:sz w:val="32"/>
          <w:szCs w:val="32"/>
          <w:color w:val="071D49"/>
        </w:rPr>
        <w:t>Board of Directors Statement in Opposition to the Stockholder Proposal on Political Spending</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12" w:lineRule="exact"/>
        <w:rPr>
          <w:sz w:val="20"/>
          <w:szCs w:val="20"/>
          <w:color w:val="auto"/>
        </w:rPr>
      </w:pPr>
    </w:p>
    <w:p>
      <w:pPr>
        <w:ind w:left="1" w:right="400"/>
        <w:spacing w:after="0" w:line="271" w:lineRule="auto"/>
        <w:rPr>
          <w:sz w:val="20"/>
          <w:szCs w:val="20"/>
          <w:color w:val="auto"/>
        </w:rPr>
      </w:pPr>
      <w:r>
        <w:rPr>
          <w:rFonts w:ascii="Arial" w:cs="Arial" w:eastAsia="Arial" w:hAnsi="Arial"/>
          <w:sz w:val="18"/>
          <w:szCs w:val="18"/>
          <w:b w:val="1"/>
          <w:bCs w:val="1"/>
          <w:color w:val="auto"/>
        </w:rPr>
        <w:t>AbbVie advocates on topics that advance patient access to innovative new medicines and reward meaningful innovation. This engagement is governed by robust processes and oversight mechanisms.</w:t>
      </w:r>
    </w:p>
    <w:p>
      <w:pPr>
        <w:spacing w:after="0" w:line="162" w:lineRule="exact"/>
        <w:rPr>
          <w:sz w:val="20"/>
          <w:szCs w:val="20"/>
          <w:color w:val="auto"/>
        </w:rPr>
      </w:pPr>
    </w:p>
    <w:p>
      <w:pPr>
        <w:ind w:left="1" w:right="200"/>
        <w:spacing w:after="0" w:line="234" w:lineRule="auto"/>
        <w:rPr>
          <w:sz w:val="20"/>
          <w:szCs w:val="20"/>
          <w:color w:val="auto"/>
        </w:rPr>
      </w:pPr>
      <w:r>
        <w:rPr>
          <w:rFonts w:ascii="Arial" w:cs="Arial" w:eastAsia="Arial" w:hAnsi="Arial"/>
          <w:sz w:val="18"/>
          <w:szCs w:val="18"/>
          <w:color w:val="auto"/>
        </w:rPr>
        <w:t>As discussed in more detail on our website, AbbVie advocates on a range of issues, including advancing patient access to innovative new medicines. This advocacy is governed by robust processes and oversight mechanisms, including:</w:t>
      </w:r>
    </w:p>
    <w:p>
      <w:pPr>
        <w:spacing w:after="0" w:line="2" w:lineRule="exact"/>
        <w:rPr>
          <w:sz w:val="20"/>
          <w:szCs w:val="20"/>
          <w:color w:val="auto"/>
        </w:rPr>
      </w:pPr>
    </w:p>
    <w:p>
      <w:pPr>
        <w:ind w:left="641" w:right="100" w:hanging="317"/>
        <w:spacing w:after="0" w:line="250" w:lineRule="auto"/>
        <w:tabs>
          <w:tab w:leader="none" w:pos="6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public policy committee exercises oversight of AbbVie’s political expenditures and lobbying activities, which are further governed by the committee’s policy on political contributions. The public policy committee and AbbVie’s senior management review these activities and expenditures on a regular basis.</w:t>
      </w:r>
    </w:p>
    <w:p>
      <w:pPr>
        <w:spacing w:after="0" w:line="1" w:lineRule="exact"/>
        <w:rPr>
          <w:rFonts w:ascii="Arial" w:cs="Arial" w:eastAsia="Arial" w:hAnsi="Arial"/>
          <w:sz w:val="18"/>
          <w:szCs w:val="18"/>
          <w:color w:val="auto"/>
        </w:rPr>
      </w:pPr>
    </w:p>
    <w:p>
      <w:pPr>
        <w:ind w:left="641" w:right="40" w:hanging="317"/>
        <w:spacing w:after="0" w:line="254" w:lineRule="auto"/>
        <w:tabs>
          <w:tab w:leader="none" w:pos="6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Vice Chairman, External Affairs and Chief Legal Officer and the Vice President, Government Affairs each review and approve all corporate political contributions to ensure these contributions are consistent with the company’s guidelines and in accordance with applicable laws as required by the committee’s policy on political contributions.</w:t>
      </w:r>
    </w:p>
    <w:p>
      <w:pPr>
        <w:spacing w:after="0" w:line="200" w:lineRule="exact"/>
        <w:rPr>
          <w:sz w:val="20"/>
          <w:szCs w:val="20"/>
          <w:color w:val="auto"/>
        </w:rPr>
      </w:pPr>
    </w:p>
    <w:p>
      <w:pPr>
        <w:spacing w:after="0" w:line="219"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874395" cy="1625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808080"/>
        </w:rPr>
        <w:t>STOCKHOLDER PROPOSALS</w:t>
      </w:r>
    </w:p>
    <w:p>
      <w:pPr>
        <w:spacing w:after="0" w:line="198" w:lineRule="exact"/>
        <w:rPr>
          <w:sz w:val="20"/>
          <w:szCs w:val="20"/>
          <w:color w:val="auto"/>
        </w:rPr>
      </w:pPr>
    </w:p>
    <w:p>
      <w:pPr>
        <w:ind w:left="640" w:right="140" w:hanging="317"/>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internal Political Action Committee (PAC) Board of Directors comprised of at least twelve senior leaders representing a broad range of functions within AbbVie guides the AbbVie PAC.</w:t>
      </w:r>
    </w:p>
    <w:p>
      <w:pPr>
        <w:ind w:left="640" w:hanging="317"/>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rigorous internal vetting process is conducted to review each political contribution.</w:t>
      </w:r>
    </w:p>
    <w:p>
      <w:pPr>
        <w:spacing w:after="0" w:line="9" w:lineRule="exact"/>
        <w:rPr>
          <w:rFonts w:ascii="Arial" w:cs="Arial" w:eastAsia="Arial" w:hAnsi="Arial"/>
          <w:sz w:val="18"/>
          <w:szCs w:val="18"/>
          <w:color w:val="auto"/>
        </w:rPr>
      </w:pPr>
    </w:p>
    <w:p>
      <w:pPr>
        <w:ind w:left="640" w:right="220" w:hanging="317"/>
        <w:spacing w:after="0" w:line="250"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Vice President, Government Affairs exercises oversight of all external vendors that lobby on AbbVie’s behalf.</w:t>
      </w:r>
    </w:p>
    <w:p>
      <w:pPr>
        <w:ind w:left="640" w:right="540" w:hanging="317"/>
        <w:spacing w:after="0" w:line="261"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AbbVie’s Code of Business Conduct sets forth AbbVie’s robust expectations for ethical behavior by all employees in all aspects of our business, including political advocacy.</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AbbVie understands that we may not always agree with every position a political contribution recipient takes on the multitude of issues in which the recipient engages, but we believe it is in the best interest of AbbVie and our patients to engage on critical policy topics, such as those that promote innovation, increase patient access to medicine, and reduce patient out of pocket costs.</w:t>
      </w:r>
    </w:p>
    <w:p>
      <w:pPr>
        <w:spacing w:after="0" w:line="169"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b w:val="1"/>
          <w:bCs w:val="1"/>
          <w:color w:val="auto"/>
        </w:rPr>
        <w:t>AbbVie has long been recognized as a leader for robust disclosures related to political and lobbying activities, and we made significant additions to these disclosures in 2022.</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Since our launch as a new public company in 2013, AbbVie has provided robust transparency related to our political and lobbying activities. As a result of our extensive disclosures, AbbVie has been consistently recognized as a leader in providing the highest level of political transparency and accountability. In 2021, AbbVie was again recognized as a “trendsetter” in this area by the CPA-Zicklin Index, the highest ranking a company can receive. This index, which is produced by the non-profit Center for Political Accountability in conjunction with the Zicklin Center for Business Ethics Research at The Wharton School at the University of Pennsylvania, benchmarks the political disclosure and accountability policies and practices of leading U.S. public companies. AbbVie was also ranked in the top tier of companies in 2020, 2019, 2018, 2017, 2016, 2015, and 2014.</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Following our robust investor dialogue throughout 2021, we further strengthened our disclosures in 2022, which can be found at: https://www.abbvie.com/our-company/policies-disclosures.html. The changes include:</w:t>
      </w:r>
    </w:p>
    <w:p>
      <w:pPr>
        <w:spacing w:after="0" w:line="183" w:lineRule="exact"/>
        <w:rPr>
          <w:sz w:val="20"/>
          <w:szCs w:val="20"/>
          <w:color w:val="auto"/>
        </w:rPr>
      </w:pPr>
    </w:p>
    <w:p>
      <w:pPr>
        <w:ind w:left="640" w:hanging="317"/>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Additional disclosures on the range of issues that AbbVie advocates on</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Significantly more detail on AbbVie’s PAC, including its leadership structure</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description of the rigorous process used to vet all AbbVie corporate and AbbVie PAC contributions</w:t>
      </w:r>
    </w:p>
    <w:p>
      <w:pPr>
        <w:spacing w:after="0" w:line="9" w:lineRule="exact"/>
        <w:rPr>
          <w:rFonts w:ascii="Arial" w:cs="Arial" w:eastAsia="Arial" w:hAnsi="Arial"/>
          <w:sz w:val="18"/>
          <w:szCs w:val="18"/>
          <w:color w:val="auto"/>
        </w:rPr>
      </w:pPr>
    </w:p>
    <w:p>
      <w:pPr>
        <w:ind w:left="640" w:right="100" w:hanging="317"/>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Lowering the threshold for disclosure of our trade association memberships from $50,000 in annual dues to $25,000 in annual dues</w:t>
      </w:r>
    </w:p>
    <w:p>
      <w:pPr>
        <w:ind w:left="640" w:right="300" w:hanging="317"/>
        <w:spacing w:after="0" w:line="250"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description of how AbbVie may choose to convey concerns with any opposing positions taken by trade associations to which we belong</w:t>
      </w:r>
    </w:p>
    <w:p>
      <w:pPr>
        <w:ind w:left="640" w:right="440" w:hanging="317"/>
        <w:spacing w:after="0" w:line="261"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details, such as the annual ethics and legal training that all AbbVie federal and state government affairs representatives receive</w:t>
      </w:r>
    </w:p>
    <w:p>
      <w:pPr>
        <w:spacing w:after="0" w:line="13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These updates in 2022 reflect AbbVie’s established history of enhancing our disclosures on a range of topics incorporating shareholder and other stakeholder feedback. Given this demonstrated commitment to transparency, the report requested in the proposal is unnecessary and would not add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82" w:name="page83"/>
    <w:bookmarkEnd w:id="82"/>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36"/>
          <w:szCs w:val="36"/>
          <w:color w:val="071D49"/>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588073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Corporate Governance Materials</w:t>
      </w:r>
    </w:p>
    <w:p>
      <w:pPr>
        <w:spacing w:after="0" w:line="234" w:lineRule="exact"/>
        <w:rPr>
          <w:sz w:val="20"/>
          <w:szCs w:val="20"/>
          <w:color w:val="auto"/>
        </w:rPr>
      </w:pPr>
    </w:p>
    <w:p>
      <w:pPr>
        <w:ind w:left="1" w:right="60"/>
        <w:spacing w:after="0" w:line="238" w:lineRule="auto"/>
        <w:rPr>
          <w:sz w:val="20"/>
          <w:szCs w:val="20"/>
          <w:color w:val="auto"/>
        </w:rPr>
      </w:pPr>
      <w:r>
        <w:rPr>
          <w:rFonts w:ascii="Arial" w:cs="Arial" w:eastAsia="Arial" w:hAnsi="Arial"/>
          <w:sz w:val="18"/>
          <w:szCs w:val="18"/>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committee charters are all available in the governance section of AbbVie’s investor relations website at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234" w:lineRule="exact"/>
        <w:rPr>
          <w:sz w:val="20"/>
          <w:szCs w:val="20"/>
          <w:color w:val="auto"/>
        </w:rPr>
      </w:pPr>
    </w:p>
    <w:p>
      <w:pPr>
        <w:ind w:left="1"/>
        <w:spacing w:after="0" w:line="238" w:lineRule="auto"/>
        <w:rPr>
          <w:sz w:val="20"/>
          <w:szCs w:val="20"/>
          <w:color w:val="auto"/>
        </w:rPr>
      </w:pPr>
      <w:r>
        <w:rPr>
          <w:rFonts w:ascii="Arial" w:cs="Arial" w:eastAsia="Arial" w:hAnsi="Arial"/>
          <w:sz w:val="18"/>
          <w:szCs w:val="18"/>
          <w:color w:val="auto"/>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202" w:lineRule="exact"/>
        <w:rPr>
          <w:sz w:val="20"/>
          <w:szCs w:val="20"/>
          <w:color w:val="auto"/>
        </w:rPr>
      </w:pPr>
    </w:p>
    <w:p>
      <w:pPr>
        <w:ind w:left="321" w:hanging="321"/>
        <w:spacing w:after="0"/>
        <w:tabs>
          <w:tab w:leader="none" w:pos="321" w:val="left"/>
        </w:tabs>
        <w:numPr>
          <w:ilvl w:val="0"/>
          <w:numId w:val="89"/>
        </w:numPr>
        <w:rPr>
          <w:rFonts w:ascii="Arial" w:cs="Arial" w:eastAsia="Arial" w:hAnsi="Arial"/>
          <w:sz w:val="18"/>
          <w:szCs w:val="18"/>
          <w:color w:val="071D49"/>
        </w:rPr>
      </w:pPr>
      <w:r>
        <w:rPr>
          <w:rFonts w:ascii="Arial" w:cs="Arial" w:eastAsia="Arial" w:hAnsi="Arial"/>
          <w:sz w:val="18"/>
          <w:szCs w:val="18"/>
          <w:color w:val="auto"/>
        </w:rPr>
        <w:t>questionnaires annually distributed to AbbVie’s directors and executive officers;</w:t>
      </w:r>
    </w:p>
    <w:p>
      <w:pPr>
        <w:spacing w:after="0" w:line="9" w:lineRule="exact"/>
        <w:rPr>
          <w:rFonts w:ascii="Arial" w:cs="Arial" w:eastAsia="Arial" w:hAnsi="Arial"/>
          <w:sz w:val="18"/>
          <w:szCs w:val="18"/>
          <w:color w:val="071D49"/>
        </w:rPr>
      </w:pPr>
    </w:p>
    <w:p>
      <w:pPr>
        <w:ind w:left="321" w:right="100" w:hanging="321"/>
        <w:spacing w:after="0" w:line="234" w:lineRule="auto"/>
        <w:tabs>
          <w:tab w:leader="none" w:pos="321" w:val="left"/>
        </w:tabs>
        <w:numPr>
          <w:ilvl w:val="0"/>
          <w:numId w:val="89"/>
        </w:numPr>
        <w:rPr>
          <w:rFonts w:ascii="Arial" w:cs="Arial" w:eastAsia="Arial" w:hAnsi="Arial"/>
          <w:sz w:val="18"/>
          <w:szCs w:val="18"/>
          <w:color w:val="071D49"/>
        </w:rPr>
      </w:pPr>
      <w:r>
        <w:rPr>
          <w:rFonts w:ascii="Arial" w:cs="Arial" w:eastAsia="Arial" w:hAnsi="Arial"/>
          <w:sz w:val="18"/>
          <w:szCs w:val="18"/>
          <w:color w:val="auto"/>
        </w:rPr>
        <w:t>certifications submitted annually by AbbVie executive officers related to their compliance with AbbVie’s Code of Business Conduct; or</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89"/>
        </w:numPr>
        <w:rPr>
          <w:rFonts w:ascii="Arial" w:cs="Arial" w:eastAsia="Arial" w:hAnsi="Arial"/>
          <w:sz w:val="18"/>
          <w:szCs w:val="18"/>
          <w:color w:val="071D49"/>
        </w:rPr>
      </w:pPr>
      <w:r>
        <w:rPr>
          <w:rFonts w:ascii="Arial" w:cs="Arial" w:eastAsia="Arial" w:hAnsi="Arial"/>
          <w:sz w:val="18"/>
          <w:szCs w:val="18"/>
          <w:color w:val="auto"/>
        </w:rPr>
        <w:t>communications made directly by the related person to the chief financial officer or general counsel.</w:t>
      </w:r>
    </w:p>
    <w:p>
      <w:pPr>
        <w:spacing w:after="0" w:line="225" w:lineRule="exact"/>
        <w:rPr>
          <w:sz w:val="20"/>
          <w:szCs w:val="20"/>
          <w:color w:val="auto"/>
        </w:rPr>
      </w:pPr>
    </w:p>
    <w:p>
      <w:pPr>
        <w:ind w:left="1" w:right="380"/>
        <w:spacing w:after="0" w:line="246" w:lineRule="auto"/>
        <w:rPr>
          <w:sz w:val="20"/>
          <w:szCs w:val="20"/>
          <w:color w:val="auto"/>
        </w:rPr>
      </w:pPr>
      <w:r>
        <w:rPr>
          <w:rFonts w:ascii="Arial" w:cs="Arial" w:eastAsia="Arial" w:hAnsi="Arial"/>
          <w:sz w:val="18"/>
          <w:szCs w:val="18"/>
          <w:color w:val="auto"/>
        </w:rPr>
        <w:t>In determining whether to approve or disapprove a related person transaction, the nominations and governance committee will consider the following items, among others:</w:t>
      </w:r>
    </w:p>
    <w:p>
      <w:pPr>
        <w:spacing w:after="0" w:line="197" w:lineRule="exact"/>
        <w:rPr>
          <w:sz w:val="20"/>
          <w:szCs w:val="20"/>
          <w:color w:val="auto"/>
        </w:rPr>
      </w:pPr>
    </w:p>
    <w:p>
      <w:pPr>
        <w:ind w:left="321" w:hanging="321"/>
        <w:spacing w:after="0"/>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the related person’s relationship to AbbVie and interest in the transaction;</w:t>
      </w:r>
    </w:p>
    <w:p>
      <w:pPr>
        <w:spacing w:after="0" w:line="9" w:lineRule="exact"/>
        <w:rPr>
          <w:rFonts w:ascii="Arial" w:cs="Arial" w:eastAsia="Arial" w:hAnsi="Arial"/>
          <w:sz w:val="18"/>
          <w:szCs w:val="18"/>
          <w:color w:val="071D49"/>
        </w:rPr>
      </w:pPr>
    </w:p>
    <w:p>
      <w:pPr>
        <w:ind w:left="321" w:right="740" w:hanging="321"/>
        <w:spacing w:after="0" w:line="234" w:lineRule="auto"/>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the material facts of the transaction, including the aggregate value of such transaction or, in the case of indebtedness, the amount of principal involved;</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the benefits to AbbVie of the transaction;</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if applicable, the availability of other sources of comparable products or services;</w:t>
      </w:r>
    </w:p>
    <w:p>
      <w:pPr>
        <w:spacing w:after="0" w:line="9" w:lineRule="exact"/>
        <w:rPr>
          <w:rFonts w:ascii="Arial" w:cs="Arial" w:eastAsia="Arial" w:hAnsi="Arial"/>
          <w:sz w:val="18"/>
          <w:szCs w:val="18"/>
          <w:color w:val="071D49"/>
        </w:rPr>
      </w:pPr>
    </w:p>
    <w:p>
      <w:pPr>
        <w:ind w:left="321" w:hanging="321"/>
        <w:spacing w:after="0" w:line="234" w:lineRule="auto"/>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an assessment of whether the transaction is on terms that are comparable to the terms available to an unrelated third party or to employees generally;</w:t>
      </w:r>
    </w:p>
    <w:p>
      <w:pPr>
        <w:spacing w:after="0" w:line="1" w:lineRule="exact"/>
        <w:rPr>
          <w:rFonts w:ascii="Arial" w:cs="Arial" w:eastAsia="Arial" w:hAnsi="Arial"/>
          <w:sz w:val="18"/>
          <w:szCs w:val="18"/>
          <w:color w:val="071D49"/>
        </w:rPr>
      </w:pPr>
    </w:p>
    <w:p>
      <w:pPr>
        <w:ind w:left="321" w:hanging="321"/>
        <w:spacing w:after="0"/>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whether a transaction has the potential to impair director independence; and</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0"/>
        </w:numPr>
        <w:rPr>
          <w:rFonts w:ascii="Arial" w:cs="Arial" w:eastAsia="Arial" w:hAnsi="Arial"/>
          <w:sz w:val="18"/>
          <w:szCs w:val="18"/>
          <w:color w:val="071D49"/>
        </w:rPr>
      </w:pPr>
      <w:r>
        <w:rPr>
          <w:rFonts w:ascii="Arial" w:cs="Arial" w:eastAsia="Arial" w:hAnsi="Arial"/>
          <w:sz w:val="18"/>
          <w:szCs w:val="18"/>
          <w:color w:val="auto"/>
        </w:rPr>
        <w:t>whether the transaction constitutes a conflict of interest.</w:t>
      </w:r>
    </w:p>
    <w:p>
      <w:pPr>
        <w:spacing w:after="0" w:line="225" w:lineRule="exact"/>
        <w:rPr>
          <w:sz w:val="20"/>
          <w:szCs w:val="20"/>
          <w:color w:val="auto"/>
        </w:rPr>
      </w:pPr>
    </w:p>
    <w:p>
      <w:pPr>
        <w:ind w:left="1" w:right="240"/>
        <w:spacing w:after="0" w:line="246" w:lineRule="auto"/>
        <w:rPr>
          <w:sz w:val="20"/>
          <w:szCs w:val="20"/>
          <w:color w:val="auto"/>
        </w:rPr>
      </w:pPr>
      <w:r>
        <w:rPr>
          <w:rFonts w:ascii="Arial" w:cs="Arial" w:eastAsia="Arial" w:hAnsi="Arial"/>
          <w:sz w:val="18"/>
          <w:szCs w:val="18"/>
          <w:color w:val="auto"/>
        </w:rPr>
        <w:t xml:space="preserve">This process is included in the nominations and governance committee’s written charter, which is available on the governance section of AbbVie’s investor relations website at </w:t>
      </w:r>
      <w:r>
        <w:rPr>
          <w:rFonts w:ascii="Arial" w:cs="Arial" w:eastAsia="Arial" w:hAnsi="Arial"/>
          <w:sz w:val="18"/>
          <w:szCs w:val="18"/>
          <w:i w:val="1"/>
          <w:iCs w:val="1"/>
          <w:color w:val="auto"/>
        </w:rPr>
        <w:t>www.abbvieinvestor.com</w:t>
      </w:r>
      <w:r>
        <w:rPr>
          <w:rFonts w:ascii="Arial" w:cs="Arial" w:eastAsia="Arial" w:hAnsi="Arial"/>
          <w:sz w:val="18"/>
          <w:szCs w:val="18"/>
          <w:color w:val="auto"/>
        </w:rPr>
        <w:t>.</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Delinquent Section 16(a) Reports</w:t>
      </w:r>
    </w:p>
    <w:p>
      <w:pPr>
        <w:spacing w:after="0" w:line="234" w:lineRule="exact"/>
        <w:rPr>
          <w:sz w:val="20"/>
          <w:szCs w:val="20"/>
          <w:color w:val="auto"/>
        </w:rPr>
      </w:pPr>
    </w:p>
    <w:p>
      <w:pPr>
        <w:ind w:left="1"/>
        <w:spacing w:after="0" w:line="236" w:lineRule="auto"/>
        <w:rPr>
          <w:sz w:val="20"/>
          <w:szCs w:val="20"/>
          <w:color w:val="auto"/>
        </w:rPr>
      </w:pPr>
      <w:r>
        <w:rPr>
          <w:rFonts w:ascii="Arial" w:cs="Arial" w:eastAsia="Arial" w:hAnsi="Arial"/>
          <w:sz w:val="18"/>
          <w:szCs w:val="18"/>
          <w:color w:val="auto"/>
        </w:rPr>
        <w:t>Section 16(a) of the Exchange Act requires AbbVie’s directors and executive officers, and persons who own more than 10% of a registered class of AbbVie’s equity securities, to file with the SEC initial reports of ownership and reports of changes in beneficial ownership of such equity securities of AbbVie. With the exceptions of one report filed one day late on January 5, 2022 on behalf of an executive officer reporting the withholding of shares in connection with a restricted stock award vesting and one report filed on behalf of a director on July 2, 2021 reporting the receipt of the cash equivalent of 1,748 AbbVie stock equivalent units in connection with his retirement from the Abbott Laboratories board of directors, each of which was not timely filed due to administrative error, to AbbVie’s knowledge, no executive officer or director of AbbVie failed to file reports required by Section 16(a) on a timely basis.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Performance-Based Compensation Arrangements</w:t>
      </w:r>
    </w:p>
    <w:p>
      <w:pPr>
        <w:spacing w:after="0" w:line="234" w:lineRule="exact"/>
        <w:rPr>
          <w:sz w:val="20"/>
          <w:szCs w:val="20"/>
          <w:color w:val="auto"/>
        </w:rPr>
      </w:pPr>
    </w:p>
    <w:p>
      <w:pPr>
        <w:ind w:left="1" w:right="180"/>
        <w:spacing w:after="0" w:line="261" w:lineRule="auto"/>
        <w:rPr>
          <w:sz w:val="20"/>
          <w:szCs w:val="20"/>
          <w:color w:val="auto"/>
        </w:rPr>
      </w:pPr>
      <w:r>
        <w:rPr>
          <w:rFonts w:ascii="Arial" w:cs="Arial" w:eastAsia="Arial" w:hAnsi="Arial"/>
          <w:sz w:val="17"/>
          <w:szCs w:val="17"/>
          <w:color w:val="auto"/>
        </w:rPr>
        <w:t>The Performance Incentive Plan and the Incentive Stock Program are intended to comply with Internal Revenue Code Section 162(m) to permit deductibility of performance-based compensation with respect to awards granted before November 2017. In connection with such awards, the compensation committee expects to take appropriate</w:t>
      </w:r>
    </w:p>
    <w:p>
      <w:pPr>
        <w:spacing w:after="0" w:line="200" w:lineRule="exact"/>
        <w:rPr>
          <w:sz w:val="20"/>
          <w:szCs w:val="20"/>
          <w:color w:val="auto"/>
        </w:rPr>
      </w:pPr>
    </w:p>
    <w:p>
      <w:pPr>
        <w:spacing w:after="0" w:line="201"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874395" cy="1625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530" w:right="1339" w:bottom="1440" w:gutter="0" w:footer="0" w:header="0"/>
        </w:sectPr>
      </w:pPr>
    </w:p>
    <w:bookmarkStart w:id="83" w:name="page84"/>
    <w:bookmarkEnd w:id="83"/>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541"/>
        <w:spacing w:after="0"/>
        <w:rPr>
          <w:sz w:val="20"/>
          <w:szCs w:val="20"/>
          <w:color w:val="auto"/>
        </w:rPr>
      </w:pPr>
      <w:r>
        <w:rPr>
          <w:rFonts w:ascii="Arial" w:cs="Arial" w:eastAsia="Arial" w:hAnsi="Arial"/>
          <w:sz w:val="18"/>
          <w:szCs w:val="18"/>
          <w:color w:val="808080"/>
        </w:rPr>
        <w:t>ADDITIONAL INFORMATION</w:t>
      </w:r>
    </w:p>
    <w:p>
      <w:pPr>
        <w:spacing w:after="0" w:line="198" w:lineRule="exact"/>
        <w:rPr>
          <w:sz w:val="20"/>
          <w:szCs w:val="20"/>
          <w:color w:val="auto"/>
        </w:rPr>
      </w:pPr>
    </w:p>
    <w:p>
      <w:pPr>
        <w:ind w:left="1" w:right="60"/>
        <w:spacing w:after="0" w:line="238" w:lineRule="auto"/>
        <w:rPr>
          <w:sz w:val="20"/>
          <w:szCs w:val="20"/>
          <w:color w:val="auto"/>
        </w:rPr>
      </w:pPr>
      <w:r>
        <w:rPr>
          <w:rFonts w:ascii="Arial" w:cs="Arial" w:eastAsia="Arial" w:hAnsi="Arial"/>
          <w:sz w:val="18"/>
          <w:szCs w:val="18"/>
          <w:color w:val="auto"/>
        </w:rPr>
        <w:t>steps to preserve deductibility, but has the flexibility to take actions that may be based on considerations in addition to tax deductibility. The committee believes that stockholder interests are best served by not restricting the committee’s discretion and flexibility in crafting compensation programs, even if such programs may result in certain non-deductible compensation expenses. Accordingly, the committee may approve components of compensation for certain executive officers that are not deductible.</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Exclusive Forum</w:t>
      </w:r>
    </w:p>
    <w:p>
      <w:pPr>
        <w:spacing w:after="0" w:line="234" w:lineRule="exact"/>
        <w:rPr>
          <w:sz w:val="20"/>
          <w:szCs w:val="20"/>
          <w:color w:val="auto"/>
        </w:rPr>
      </w:pPr>
    </w:p>
    <w:p>
      <w:pPr>
        <w:ind w:left="1" w:right="20"/>
        <w:spacing w:after="0" w:line="236" w:lineRule="auto"/>
        <w:rPr>
          <w:sz w:val="20"/>
          <w:szCs w:val="20"/>
          <w:color w:val="auto"/>
        </w:rPr>
      </w:pPr>
      <w:r>
        <w:rPr>
          <w:rFonts w:ascii="Arial" w:cs="Arial" w:eastAsia="Arial" w:hAnsi="Arial"/>
          <w:sz w:val="18"/>
          <w:szCs w:val="18"/>
          <w:color w:val="auto"/>
        </w:rPr>
        <w:t>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Other Matters</w:t>
      </w:r>
    </w:p>
    <w:p>
      <w:pPr>
        <w:spacing w:after="0" w:line="234" w:lineRule="exact"/>
        <w:rPr>
          <w:sz w:val="20"/>
          <w:szCs w:val="20"/>
          <w:color w:val="auto"/>
        </w:rPr>
      </w:pPr>
    </w:p>
    <w:p>
      <w:pPr>
        <w:jc w:val="both"/>
        <w:ind w:left="1" w:right="40"/>
        <w:spacing w:after="0"/>
        <w:rPr>
          <w:sz w:val="20"/>
          <w:szCs w:val="20"/>
          <w:color w:val="auto"/>
        </w:rPr>
      </w:pPr>
      <w:r>
        <w:rPr>
          <w:rFonts w:ascii="Arial" w:cs="Arial" w:eastAsia="Arial" w:hAnsi="Arial"/>
          <w:sz w:val="18"/>
          <w:szCs w:val="18"/>
          <w:color w:val="auto"/>
        </w:rPr>
        <w:t>The board of directors knows of no other business to be transacted at the 2022 Annual Meeting of Stockholders, but if any other matters do come before the meeting, it is the intention of the persons named in the accompanying proxy to vote or act with respect to them in accordance with their best judgment.</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Date for Receipt of Stockholder Proposals for the 2023 Annual Meeting Proxy Statement</w:t>
      </w:r>
    </w:p>
    <w:p>
      <w:pPr>
        <w:spacing w:after="0" w:line="234" w:lineRule="exact"/>
        <w:rPr>
          <w:sz w:val="20"/>
          <w:szCs w:val="20"/>
          <w:color w:val="auto"/>
        </w:rPr>
      </w:pPr>
    </w:p>
    <w:p>
      <w:pPr>
        <w:ind w:left="1" w:right="280"/>
        <w:spacing w:after="0"/>
        <w:rPr>
          <w:sz w:val="20"/>
          <w:szCs w:val="20"/>
          <w:color w:val="auto"/>
        </w:rPr>
      </w:pPr>
      <w:r>
        <w:rPr>
          <w:rFonts w:ascii="Arial" w:cs="Arial" w:eastAsia="Arial" w:hAnsi="Arial"/>
          <w:sz w:val="18"/>
          <w:szCs w:val="18"/>
          <w:color w:val="auto"/>
        </w:rPr>
        <w:t>Stockholder proposals for presentation at the 2023 Annual Meeting must be received by AbbVie no later than November 22, 2022 and must otherwise comply with the applicable requirements of the Securities and Exchange Commission to be considered for inclusion in the proxy statement and proxy for the 2023 meeting.</w:t>
      </w:r>
    </w:p>
    <w:p>
      <w:pPr>
        <w:spacing w:after="0" w:line="154" w:lineRule="exact"/>
        <w:rPr>
          <w:sz w:val="20"/>
          <w:szCs w:val="20"/>
          <w:color w:val="auto"/>
        </w:rPr>
      </w:pPr>
    </w:p>
    <w:p>
      <w:pPr>
        <w:ind w:left="1" w:right="680"/>
        <w:spacing w:after="0" w:line="271" w:lineRule="auto"/>
        <w:rPr>
          <w:sz w:val="20"/>
          <w:szCs w:val="20"/>
          <w:color w:val="auto"/>
        </w:rPr>
      </w:pPr>
      <w:r>
        <w:rPr>
          <w:rFonts w:ascii="Arial" w:cs="Arial" w:eastAsia="Arial" w:hAnsi="Arial"/>
          <w:sz w:val="18"/>
          <w:szCs w:val="18"/>
          <w:b w:val="1"/>
          <w:bCs w:val="1"/>
          <w:color w:val="auto"/>
        </w:rPr>
        <w:t>Procedure for Recommendation and Nomination of Directors and Transaction of Business at Annual Meeting</w:t>
      </w:r>
    </w:p>
    <w:p>
      <w:pPr>
        <w:spacing w:after="0" w:line="176" w:lineRule="exact"/>
        <w:rPr>
          <w:sz w:val="20"/>
          <w:szCs w:val="20"/>
          <w:color w:val="auto"/>
        </w:rPr>
      </w:pPr>
    </w:p>
    <w:p>
      <w:pPr>
        <w:ind w:left="1" w:right="60"/>
        <w:spacing w:after="0" w:line="238" w:lineRule="auto"/>
        <w:rPr>
          <w:sz w:val="20"/>
          <w:szCs w:val="20"/>
          <w:color w:val="auto"/>
        </w:rPr>
      </w:pPr>
      <w:r>
        <w:rPr>
          <w:rFonts w:ascii="Arial" w:cs="Arial" w:eastAsia="Arial" w:hAnsi="Arial"/>
          <w:sz w:val="18"/>
          <w:szCs w:val="18"/>
          <w:color w:val="auto"/>
        </w:rPr>
        <w:t>A stockholder may recommend persons as potential nominees for director by submitting the names of such persons in writing to the secretary of AbbVie. Recommendations must be accompanied by certain information about both the nominee and the stockholder making the nomination, as set forth in AbbVie’s Amended and Restated By-Laws. A nominee who is recommended by a stockholder following these procedures will receive the same consideration as other comparably qualified nominees.</w:t>
      </w:r>
    </w:p>
    <w:p>
      <w:pPr>
        <w:spacing w:after="0" w:line="189" w:lineRule="exact"/>
        <w:rPr>
          <w:sz w:val="20"/>
          <w:szCs w:val="20"/>
          <w:color w:val="auto"/>
        </w:rPr>
      </w:pPr>
    </w:p>
    <w:p>
      <w:pPr>
        <w:ind w:left="1" w:right="240"/>
        <w:spacing w:after="0" w:line="246" w:lineRule="auto"/>
        <w:rPr>
          <w:sz w:val="20"/>
          <w:szCs w:val="20"/>
          <w:color w:val="auto"/>
        </w:rPr>
      </w:pPr>
      <w:r>
        <w:rPr>
          <w:rFonts w:ascii="Arial" w:cs="Arial" w:eastAsia="Arial" w:hAnsi="Arial"/>
          <w:sz w:val="18"/>
          <w:szCs w:val="18"/>
          <w:color w:val="auto"/>
        </w:rPr>
        <w:t>A stockholder entitled to vote for the election of directors at an Annual Meeting and who is a stockholder of record on:</w:t>
      </w:r>
    </w:p>
    <w:p>
      <w:pPr>
        <w:spacing w:after="0" w:line="197" w:lineRule="exact"/>
        <w:rPr>
          <w:sz w:val="20"/>
          <w:szCs w:val="20"/>
          <w:color w:val="auto"/>
        </w:rPr>
      </w:pPr>
    </w:p>
    <w:p>
      <w:pPr>
        <w:ind w:left="321" w:hanging="321"/>
        <w:spacing w:after="0"/>
        <w:tabs>
          <w:tab w:leader="none" w:pos="321" w:val="left"/>
        </w:tabs>
        <w:numPr>
          <w:ilvl w:val="0"/>
          <w:numId w:val="91"/>
        </w:numPr>
        <w:rPr>
          <w:rFonts w:ascii="Arial" w:cs="Arial" w:eastAsia="Arial" w:hAnsi="Arial"/>
          <w:sz w:val="18"/>
          <w:szCs w:val="18"/>
          <w:color w:val="071D49"/>
        </w:rPr>
      </w:pPr>
      <w:r>
        <w:rPr>
          <w:rFonts w:ascii="Arial" w:cs="Arial" w:eastAsia="Arial" w:hAnsi="Arial"/>
          <w:sz w:val="18"/>
          <w:szCs w:val="18"/>
          <w:color w:val="auto"/>
        </w:rPr>
        <w:t>the record date for that Annual Meeting,</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1"/>
        </w:numPr>
        <w:rPr>
          <w:rFonts w:ascii="Arial" w:cs="Arial" w:eastAsia="Arial" w:hAnsi="Arial"/>
          <w:sz w:val="18"/>
          <w:szCs w:val="18"/>
          <w:color w:val="071D49"/>
        </w:rPr>
      </w:pPr>
      <w:r>
        <w:rPr>
          <w:rFonts w:ascii="Arial" w:cs="Arial" w:eastAsia="Arial" w:hAnsi="Arial"/>
          <w:sz w:val="18"/>
          <w:szCs w:val="18"/>
          <w:color w:val="auto"/>
        </w:rPr>
        <w:t>the date of this proxy statement, and</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1"/>
        </w:numPr>
        <w:rPr>
          <w:rFonts w:ascii="Arial" w:cs="Arial" w:eastAsia="Arial" w:hAnsi="Arial"/>
          <w:sz w:val="18"/>
          <w:szCs w:val="18"/>
          <w:color w:val="071D49"/>
        </w:rPr>
      </w:pPr>
      <w:r>
        <w:rPr>
          <w:rFonts w:ascii="Arial" w:cs="Arial" w:eastAsia="Arial" w:hAnsi="Arial"/>
          <w:sz w:val="18"/>
          <w:szCs w:val="18"/>
          <w:color w:val="auto"/>
        </w:rPr>
        <w:t>the date of the Annual Meeting</w:t>
      </w:r>
    </w:p>
    <w:p>
      <w:pPr>
        <w:spacing w:after="0" w:line="225" w:lineRule="exact"/>
        <w:rPr>
          <w:sz w:val="20"/>
          <w:szCs w:val="20"/>
          <w:color w:val="auto"/>
        </w:rPr>
      </w:pPr>
    </w:p>
    <w:p>
      <w:pPr>
        <w:ind w:left="1" w:right="120"/>
        <w:spacing w:after="0" w:line="238" w:lineRule="auto"/>
        <w:rPr>
          <w:sz w:val="20"/>
          <w:szCs w:val="20"/>
          <w:color w:val="auto"/>
        </w:rPr>
      </w:pPr>
      <w:r>
        <w:rPr>
          <w:rFonts w:ascii="Arial" w:cs="Arial" w:eastAsia="Arial" w:hAnsi="Arial"/>
          <w:sz w:val="18"/>
          <w:szCs w:val="18"/>
          <w:color w:val="auto"/>
        </w:rPr>
        <w:t>may nominate persons for director, or make proposals of other business to be brought before the Annual Meeting, by providing proper timely written notice to the secretary of AbbVie. That notice must include certain information required by Article II of AbbVie’s Amended and Restated By-Laws, including information about the stockholder, any beneficial owner on whose behalf the nomination or proposal is being made, their respective affiliates or associates or others acting in concert with them, and any proposed director nominee.</w:t>
      </w:r>
    </w:p>
    <w:p>
      <w:pPr>
        <w:spacing w:after="0" w:line="202" w:lineRule="exact"/>
        <w:rPr>
          <w:sz w:val="20"/>
          <w:szCs w:val="20"/>
          <w:color w:val="auto"/>
        </w:rPr>
      </w:pPr>
    </w:p>
    <w:p>
      <w:pPr>
        <w:jc w:val="both"/>
        <w:ind w:left="1" w:right="220"/>
        <w:spacing w:after="0"/>
        <w:rPr>
          <w:sz w:val="20"/>
          <w:szCs w:val="20"/>
          <w:color w:val="auto"/>
        </w:rPr>
      </w:pPr>
      <w:r>
        <w:rPr>
          <w:rFonts w:ascii="Arial" w:cs="Arial" w:eastAsia="Arial" w:hAnsi="Arial"/>
          <w:sz w:val="18"/>
          <w:szCs w:val="18"/>
          <w:color w:val="auto"/>
        </w:rPr>
        <w:t>For each matter the stockholder proposes to bring before the Annual Meeting, the notice must also include a brief description of the business to be discussed, the reasons for conducting such business at the Annual Meeting, any material interest of the stockholder in such business and certain other information specified in the By-Laws. In</w:t>
      </w:r>
    </w:p>
    <w:p>
      <w:pPr>
        <w:spacing w:after="0" w:line="200" w:lineRule="exact"/>
        <w:rPr>
          <w:sz w:val="20"/>
          <w:szCs w:val="20"/>
          <w:color w:val="auto"/>
        </w:rPr>
      </w:pP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-548005</wp:posOffset>
            </wp:positionV>
            <wp:extent cx="874395"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808080"/>
        </w:rPr>
        <w:t>ADDITIONAL INFORMATION</w:t>
      </w:r>
    </w:p>
    <w:p>
      <w:pPr>
        <w:spacing w:after="0" w:line="19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addition, in the case of a director nomination, the notice must include a completed and signed questionnaire, representation and agreement of the nominee addressing matters specified in the By-Laws.</w:t>
      </w:r>
    </w:p>
    <w:p>
      <w:pPr>
        <w:spacing w:after="0" w:line="1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To be timely, written notice either to directly nominate persons for director or to bring business properly before the Annual Meeting must be received at AbbVie’s principal executive offices not less than ninety days and not more than one hundred twenty days prior to the anniversary date of the preceding Annual Meeting. If the Annual Meeting is called for a date that is more than thirty days before or sixty days after such anniversary date, notice by the stockholder must be received not less than ninety days and not more than one hundred twenty days prior to the date of such Annual Meeting and not later than the close of business on the later of ninety days prior to the date of such Annual Meeting, or, if the first public announcement of the date of such Annual Meeting is less than one hundred days prior to the date of such Annual Meeting, the tenth day following the day on which public announcement of the date of such meeting is first made by AbbVie. To be timely for the 2023 Annual Meeting, this written notice must be received by AbbVie no later than February 6, 2023.</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notice must be updated and supplemented, if necessary, so that the information provided or required to be provided is true and correct as of the record date for the Annual Meeting and as of the date that is ten business days prior to the meeting. Any such update or supplement must be delivered to the secretary of AbbVie at AbbVie’s principal executive offices not more than five business days after the record date for the Annual Meeting, and not less than eight business days before the date of the Annual Meeting in the case of any update or supplement required to be made as of ten business days prior to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Stockholder Nominations to be Included in AbbVie’s Proxy Materials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Article II of AbbVie’s Amended and Restated By-Laws. To be timely, written notice must be received at AbbVie’s principal executive offices not earlier than 150 days and not later than 120 days before the anniversary of the date that the company mailed its proxy statement for the prior year’s annual meeting of stockholders. To be timely for the 2023 Annual Meeting, this written notice must be received by AbbVie no later than November 22, 2022 and must include the specific information required by, and otherwise comply with the requirements of, our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78" w:val="left"/>
          <w:tab w:leader="none" w:pos="2320"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874395" cy="1625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58807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20"/>
          </w:cols>
          <w:pgMar w:left="1320" w:top="530" w:right="1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808080"/>
        </w:rPr>
        <w:t>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Some statements in this proxy statement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the failure to realize the expected benefits of AbbVie's acquisition of Allergan or to promptly and effectively integrate Allergan's business,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2021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to release publicly any revisions to forward-looking statements as a result of subsequent events or developments,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20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Annual Meeting will be held on Friday, May 6, 2022 at 9:00 a.m. CT. This year’s Annual Meeting will be a virtual meeting of stockholders. It is important to us that our stockholders be able to engage with the company and its executives during the annual meeting. AbbVie held virtual stockholder meetings in 2020 and 2021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2022 virtual shareholder meeting, stockholders will be able to attend the Annual Meeting, vote, and submit questions via live webcast by visiting www.virtualshareholdermeeting.com/ABBV2022. Consistent with prior practice at our in-person meetings, we will address as many stockholder-submitted question topics as time permits. If we do not have time to address a specific question, a member of our governance team will follow-up with the stockholder(s) after the meeting. The virtual meeting website can be accessed on a computer, tablet, or phone with internet connection. For stockholders without access to the internet, you may listen to the Annual Meeting by telephone at 1-877-328-2502. AbbVie will make any required list of stockholders available during the meeting. Closed captioning will be available on the meeting platform.</w:t>
      </w:r>
    </w:p>
    <w:p>
      <w:pPr>
        <w:spacing w:after="0" w:line="2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be admitted to the Annual Meeting at www.virtualshareholdermeeting.com/ABBV2022, you must enter the control number found on your proxy card, voting instruction form or notice you received. You may vote during the Annual Meeting by following the instructions available on the meeting website during the meeting.</w:t>
      </w:r>
    </w:p>
    <w:p>
      <w:pPr>
        <w:spacing w:after="0" w:line="2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ind w:left="4620"/>
        <w:spacing w:after="0" w:line="234" w:lineRule="auto"/>
        <w:rPr>
          <w:sz w:val="20"/>
          <w:szCs w:val="20"/>
          <w:color w:val="auto"/>
        </w:rPr>
      </w:pPr>
      <w:r>
        <w:rPr>
          <w:rFonts w:ascii="Arial" w:cs="Arial" w:eastAsia="Arial" w:hAnsi="Arial"/>
          <w:sz w:val="18"/>
          <w:szCs w:val="18"/>
          <w:color w:val="auto"/>
        </w:rPr>
        <w:t>LAURA J. SCHUMACHER</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534"/>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-539750</wp:posOffset>
            </wp:positionV>
            <wp:extent cx="874395"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86" w:name="page87"/>
    <w:bookmarkEnd w:id="86"/>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p>
      <w:pPr>
        <w:ind w:left="1"/>
        <w:spacing w:after="0"/>
        <w:rPr>
          <w:sz w:val="20"/>
          <w:szCs w:val="20"/>
          <w:color w:val="auto"/>
        </w:rPr>
      </w:pPr>
      <w:r>
        <w:rPr>
          <w:rFonts w:ascii="Arial" w:cs="Arial" w:eastAsia="Arial" w:hAnsi="Arial"/>
          <w:sz w:val="36"/>
          <w:szCs w:val="36"/>
          <w:color w:val="071D49"/>
        </w:rPr>
        <w:t>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588073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Who Can Vote</w:t>
      </w:r>
    </w:p>
    <w:p>
      <w:pPr>
        <w:spacing w:after="0" w:line="234" w:lineRule="exact"/>
        <w:rPr>
          <w:sz w:val="20"/>
          <w:szCs w:val="20"/>
          <w:color w:val="auto"/>
        </w:rPr>
      </w:pPr>
    </w:p>
    <w:p>
      <w:pPr>
        <w:ind w:left="1"/>
        <w:spacing w:after="0" w:line="238" w:lineRule="auto"/>
        <w:rPr>
          <w:sz w:val="20"/>
          <w:szCs w:val="20"/>
          <w:color w:val="auto"/>
        </w:rPr>
      </w:pPr>
      <w:r>
        <w:rPr>
          <w:rFonts w:ascii="Arial" w:cs="Arial" w:eastAsia="Arial" w:hAnsi="Arial"/>
          <w:sz w:val="18"/>
          <w:szCs w:val="18"/>
          <w:color w:val="auto"/>
        </w:rPr>
        <w:t>Stockholders of record at the close of business on March 7, 2022 will be entitled to notice of and to vote during the Annual Meeting. As of March 7, 2022, AbbVie had 1,766,284,924 outstanding shares of common stock, which are AbbVie’s only outstanding voting securities. Each stockholder has one vote per share. Stockholders do not have the right to vote cumulatively in electing directors.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Notice and Access</w:t>
      </w:r>
    </w:p>
    <w:p>
      <w:pPr>
        <w:spacing w:after="0" w:line="234" w:lineRule="exact"/>
        <w:rPr>
          <w:sz w:val="20"/>
          <w:szCs w:val="20"/>
          <w:color w:val="auto"/>
        </w:rPr>
      </w:pPr>
    </w:p>
    <w:p>
      <w:pPr>
        <w:ind w:left="1"/>
        <w:spacing w:after="0" w:line="237" w:lineRule="auto"/>
        <w:rPr>
          <w:sz w:val="20"/>
          <w:szCs w:val="20"/>
          <w:color w:val="auto"/>
        </w:rPr>
      </w:pPr>
      <w:r>
        <w:rPr>
          <w:rFonts w:ascii="Arial" w:cs="Arial" w:eastAsia="Arial" w:hAnsi="Arial"/>
          <w:sz w:val="18"/>
          <w:szCs w:val="18"/>
          <w:color w:val="auto"/>
        </w:rPr>
        <w:t>In accordance with the Securities and Exchange Commission (SEC) e-proxy rules, AbbVie mailed a Notice of Internet Availability of Proxy Materials (the “Notice”) to stockholders in March 2022.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Voting by Proxy</w:t>
      </w:r>
    </w:p>
    <w:p>
      <w:pPr>
        <w:spacing w:after="0" w:line="234" w:lineRule="exact"/>
        <w:rPr>
          <w:sz w:val="20"/>
          <w:szCs w:val="20"/>
          <w:color w:val="auto"/>
        </w:rPr>
      </w:pPr>
    </w:p>
    <w:p>
      <w:pPr>
        <w:ind w:left="1"/>
        <w:spacing w:after="0" w:line="238" w:lineRule="auto"/>
        <w:rPr>
          <w:sz w:val="20"/>
          <w:szCs w:val="20"/>
          <w:color w:val="auto"/>
        </w:rPr>
      </w:pPr>
      <w:r>
        <w:rPr>
          <w:rFonts w:ascii="Arial" w:cs="Arial" w:eastAsia="Arial" w:hAnsi="Arial"/>
          <w:sz w:val="18"/>
          <w:szCs w:val="18"/>
          <w:color w:val="auto"/>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Revoking a Proxy</w:t>
      </w:r>
    </w:p>
    <w:p>
      <w:pPr>
        <w:spacing w:after="0" w:line="234" w:lineRule="exact"/>
        <w:rPr>
          <w:sz w:val="20"/>
          <w:szCs w:val="20"/>
          <w:color w:val="auto"/>
        </w:rPr>
      </w:pPr>
    </w:p>
    <w:p>
      <w:pPr>
        <w:ind w:left="1"/>
        <w:spacing w:after="0"/>
        <w:rPr>
          <w:sz w:val="20"/>
          <w:szCs w:val="20"/>
          <w:color w:val="auto"/>
        </w:rPr>
      </w:pPr>
      <w:r>
        <w:rPr>
          <w:rFonts w:ascii="Arial" w:cs="Arial" w:eastAsia="Arial" w:hAnsi="Arial"/>
          <w:sz w:val="18"/>
          <w:szCs w:val="18"/>
          <w:color w:val="auto"/>
        </w:rPr>
        <w:t>You may revoke your proxy by voting during the Annual Meeting or, at any time prior to the meeting:</w:t>
      </w:r>
    </w:p>
    <w:p>
      <w:pPr>
        <w:spacing w:after="0" w:line="171" w:lineRule="exact"/>
        <w:rPr>
          <w:sz w:val="20"/>
          <w:szCs w:val="20"/>
          <w:color w:val="auto"/>
        </w:rPr>
      </w:pPr>
    </w:p>
    <w:p>
      <w:pPr>
        <w:ind w:left="321" w:hanging="321"/>
        <w:spacing w:after="0"/>
        <w:tabs>
          <w:tab w:leader="none" w:pos="321" w:val="left"/>
        </w:tabs>
        <w:numPr>
          <w:ilvl w:val="0"/>
          <w:numId w:val="92"/>
        </w:numPr>
        <w:rPr>
          <w:rFonts w:ascii="Arial" w:cs="Arial" w:eastAsia="Arial" w:hAnsi="Arial"/>
          <w:sz w:val="18"/>
          <w:szCs w:val="18"/>
          <w:color w:val="071D49"/>
        </w:rPr>
      </w:pPr>
      <w:r>
        <w:rPr>
          <w:rFonts w:ascii="Arial" w:cs="Arial" w:eastAsia="Arial" w:hAnsi="Arial"/>
          <w:sz w:val="18"/>
          <w:szCs w:val="18"/>
          <w:color w:val="auto"/>
        </w:rPr>
        <w:t>by delivering a written notice to the secretary of AbbVie,</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2"/>
        </w:numPr>
        <w:rPr>
          <w:rFonts w:ascii="Arial" w:cs="Arial" w:eastAsia="Arial" w:hAnsi="Arial"/>
          <w:sz w:val="18"/>
          <w:szCs w:val="18"/>
          <w:color w:val="071D49"/>
        </w:rPr>
      </w:pPr>
      <w:r>
        <w:rPr>
          <w:rFonts w:ascii="Arial" w:cs="Arial" w:eastAsia="Arial" w:hAnsi="Arial"/>
          <w:sz w:val="18"/>
          <w:szCs w:val="18"/>
          <w:color w:val="auto"/>
        </w:rPr>
        <w:t>by delivering an authorized proxy with a later date, or</w:t>
      </w:r>
    </w:p>
    <w:p>
      <w:pPr>
        <w:spacing w:after="0" w:line="9" w:lineRule="exact"/>
        <w:rPr>
          <w:rFonts w:ascii="Arial" w:cs="Arial" w:eastAsia="Arial" w:hAnsi="Arial"/>
          <w:sz w:val="18"/>
          <w:szCs w:val="18"/>
          <w:color w:val="071D49"/>
        </w:rPr>
      </w:pPr>
    </w:p>
    <w:p>
      <w:pPr>
        <w:ind w:left="321" w:hanging="321"/>
        <w:spacing w:after="0"/>
        <w:tabs>
          <w:tab w:leader="none" w:pos="321" w:val="left"/>
        </w:tabs>
        <w:numPr>
          <w:ilvl w:val="0"/>
          <w:numId w:val="92"/>
        </w:numPr>
        <w:rPr>
          <w:rFonts w:ascii="Arial" w:cs="Arial" w:eastAsia="Arial" w:hAnsi="Arial"/>
          <w:sz w:val="18"/>
          <w:szCs w:val="18"/>
          <w:color w:val="071D49"/>
        </w:rPr>
      </w:pPr>
      <w:r>
        <w:rPr>
          <w:rFonts w:ascii="Arial" w:cs="Arial" w:eastAsia="Arial" w:hAnsi="Arial"/>
          <w:sz w:val="18"/>
          <w:szCs w:val="18"/>
          <w:color w:val="auto"/>
        </w:rPr>
        <w:t>by voting by telephone or the Internet after you have given your proxy.</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Discretionary Voting Authority</w:t>
      </w:r>
    </w:p>
    <w:p>
      <w:pPr>
        <w:spacing w:after="0" w:line="234" w:lineRule="exact"/>
        <w:rPr>
          <w:sz w:val="20"/>
          <w:szCs w:val="20"/>
          <w:color w:val="auto"/>
        </w:rPr>
      </w:pPr>
    </w:p>
    <w:p>
      <w:pPr>
        <w:ind w:left="1" w:right="200"/>
        <w:spacing w:after="0" w:line="238" w:lineRule="auto"/>
        <w:rPr>
          <w:sz w:val="20"/>
          <w:szCs w:val="20"/>
          <w:color w:val="auto"/>
        </w:rPr>
      </w:pPr>
      <w:r>
        <w:rPr>
          <w:rFonts w:ascii="Arial" w:cs="Arial" w:eastAsia="Arial" w:hAnsi="Arial"/>
          <w:sz w:val="18"/>
          <w:szCs w:val="18"/>
          <w:color w:val="auto"/>
        </w:rPr>
        <w:t>Unless otherwise specified in accordance with the instructions on the proxy, the persons named in the proxy will vote the shares of AbbVie common stock covered by proxies they receive to elect the four nominees named in Item 1 on the proxy card. If a nominee becomes unavailable to serve, the shares will be voted for a substitute designated by the board of directors or for fewer than four nominees if, in the judgment of the proxy holders, such action is necessary or desirable.</w:t>
      </w:r>
    </w:p>
    <w:p>
      <w:pPr>
        <w:spacing w:after="0" w:line="202" w:lineRule="exact"/>
        <w:rPr>
          <w:sz w:val="20"/>
          <w:szCs w:val="20"/>
          <w:color w:val="auto"/>
        </w:rPr>
      </w:pPr>
    </w:p>
    <w:p>
      <w:pPr>
        <w:ind w:left="1" w:right="40"/>
        <w:spacing w:after="0" w:line="238" w:lineRule="auto"/>
        <w:rPr>
          <w:sz w:val="20"/>
          <w:szCs w:val="20"/>
          <w:color w:val="auto"/>
        </w:rPr>
      </w:pPr>
      <w:r>
        <w:rPr>
          <w:rFonts w:ascii="Arial" w:cs="Arial" w:eastAsia="Arial" w:hAnsi="Arial"/>
          <w:sz w:val="18"/>
          <w:szCs w:val="18"/>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to eliminate supermajority voting, and AGAINST each of the stockholder proposals.</w:t>
      </w:r>
    </w:p>
    <w:p>
      <w:pPr>
        <w:spacing w:after="0" w:line="202" w:lineRule="exact"/>
        <w:rPr>
          <w:sz w:val="20"/>
          <w:szCs w:val="20"/>
          <w:color w:val="auto"/>
        </w:rPr>
      </w:pPr>
    </w:p>
    <w:p>
      <w:pPr>
        <w:jc w:val="both"/>
        <w:ind w:left="1" w:right="380"/>
        <w:spacing w:after="0"/>
        <w:rPr>
          <w:sz w:val="20"/>
          <w:szCs w:val="20"/>
          <w:color w:val="auto"/>
        </w:rPr>
      </w:pPr>
      <w:r>
        <w:rPr>
          <w:rFonts w:ascii="Arial" w:cs="Arial" w:eastAsia="Arial" w:hAnsi="Arial"/>
          <w:sz w:val="18"/>
          <w:szCs w:val="18"/>
          <w:color w:val="auto"/>
        </w:rPr>
        <w:t>The board of directors is not aware of any other issue that may properly be brought before the meeting. If other matters are properly brought before the meeting, the accompanying proxy will be voted in accordance with the judgment of the proxy holders.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Quorum and Vote Required to Approve Each Item on the Proxy</w:t>
      </w:r>
    </w:p>
    <w:p>
      <w:pPr>
        <w:spacing w:after="0" w:line="234" w:lineRule="exact"/>
        <w:rPr>
          <w:sz w:val="20"/>
          <w:szCs w:val="20"/>
          <w:color w:val="auto"/>
        </w:rPr>
      </w:pPr>
    </w:p>
    <w:p>
      <w:pPr>
        <w:ind w:left="1" w:right="160"/>
        <w:spacing w:after="0" w:line="246" w:lineRule="auto"/>
        <w:rPr>
          <w:sz w:val="20"/>
          <w:szCs w:val="20"/>
          <w:color w:val="auto"/>
        </w:rPr>
      </w:pPr>
      <w:r>
        <w:rPr>
          <w:rFonts w:ascii="Arial" w:cs="Arial" w:eastAsia="Arial" w:hAnsi="Arial"/>
          <w:sz w:val="18"/>
          <w:szCs w:val="18"/>
          <w:color w:val="auto"/>
        </w:rPr>
        <w:t>A majority of the outstanding shares entitled to vote generally in the election of directors, represented in person or by proxy, constitutes a quorum. Directors are elected by stockholders in an uncontested election if a majority of</w:t>
      </w:r>
    </w:p>
    <w:p>
      <w:pPr>
        <w:spacing w:after="0" w:line="200" w:lineRule="exact"/>
        <w:rPr>
          <w:sz w:val="20"/>
          <w:szCs w:val="20"/>
          <w:color w:val="auto"/>
        </w:rPr>
      </w:pPr>
    </w:p>
    <w:p>
      <w:pPr>
        <w:spacing w:after="0" w:line="212" w:lineRule="exact"/>
        <w:rPr>
          <w:sz w:val="20"/>
          <w:szCs w:val="20"/>
          <w:color w:val="auto"/>
        </w:rPr>
      </w:pPr>
    </w:p>
    <w:p>
      <w:pPr>
        <w:ind w:left="1"/>
        <w:spacing w:after="0"/>
        <w:tabs>
          <w:tab w:leader="none" w:pos="379" w:val="left"/>
          <w:tab w:leader="none" w:pos="2321"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874395" cy="16256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01"/>
          </w:cols>
          <w:pgMar w:left="1319" w:top="530" w:right="1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280"/>
        <w:spacing w:after="0"/>
        <w:rPr>
          <w:sz w:val="20"/>
          <w:szCs w:val="20"/>
          <w:color w:val="auto"/>
        </w:rPr>
      </w:pPr>
      <w:r>
        <w:rPr>
          <w:rFonts w:ascii="Arial" w:cs="Arial" w:eastAsia="Arial" w:hAnsi="Arial"/>
          <w:sz w:val="17"/>
          <w:szCs w:val="17"/>
          <w:color w:val="808080"/>
        </w:rPr>
        <w:t>INFORMATION ABOUT THE ANNUAL MEETING</w:t>
      </w:r>
    </w:p>
    <w:p>
      <w:pPr>
        <w:spacing w:after="0" w:line="2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votes cast are “for” a director’s re-election at the Annual Meeting, excluding abstentions and broker non-votes. For other matters, the affirmative vote of a majority of the shares represented, in person or by proxy, at the meeting and entitled to vote on a matter shall be the act of the stockholders with respect to that matter; except for the management proposal to eliminate supermajority voting, which requires the affirmative vote of shares representing not less than eighty percent (80%) of the outstanding shares of capital stock of AbbVie entitled to vote generally in the election of directors pursuant to Article XI of AbbVie’s Amended and Restated Certificate of Incorporation.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Broker Non-Votes and Abstentions</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 proxy submitted by an institution such as a broker or bank that holds shares for the account of a beneficial owner may indicate that all or a portion of the shares represented by that proxy are not being voted with respect to a particular matter. This could occur, for example, when the broker or bank is not permitted to vote those shares in the absence of instructions from the beneficial owner of the stock. These “non-voted shares” will be considered shares not present and, therefore, not entitled to vote on those matters, although these shares may be considered present and entitled to vote for other purposes. Brokers and banks have discretionary authority to vote shares in the absence of instructions on matters the New York Stock Exchange considers “routine,” such as the ratification of the appointment of the auditors. They do not have discretionary authority to vote shares in absence of instructions on “non-routine” matters. The election of directors, the advisory vote on the approval of executive compensation, the management proposal to eliminate supermajority voting, and the stockholder proposals are considered “non-routine” matters. Non-voted shares will not affect the determination of the outcome of the vote on any matter to be decided at the meeting. Shares represented by proxies that are present and entitled to vote on a matter but that have elected to abstain from voting on that matter, other than the election of directors, will have the effect of votes against that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Inspectors of Election</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inspectors of election and the tabulators of all proxies, ballots, and voting tabulations that identify stockholders are independent and are not AbbVie 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Soliciting Proxies</w:t>
      </w:r>
    </w:p>
    <w:p>
      <w:pPr>
        <w:spacing w:after="0" w:line="23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20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AbbVie has retained Alliance Advisors LLC to aid in the solicitation of proxies, at an estimated cost of $16,000 plus reimbursement for reasonable out-of-pocket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Savings Plan</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Participants in the AbbVie Savings Plan will receive voting instructions for their shares of AbbVie common stock held in the AbbVie Savings Plan Trust. The Trust is administered by both a trustee and an investment committee. The trustee is Great-West Trust Company, LLC. The members of the investment committee are William H.S. Preece, David Purdue and Michael J. Thomas, employees of AbbVie. The voting power with respect to the shares is held by and shared between the investment committee and the participants. The investment committee must solicit voting instructions from the participants and follow the voting instructions it receives. The investment committee may use its own discretion with respect to those shares of AbbVie common stock for which no voting instructions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140" w:type="dxa"/>
            <w:vAlign w:val="bottom"/>
          </w:tcPr>
          <w:p>
            <w:pPr>
              <w:ind w:left="512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548"/>
        </w:trPr>
        <w:tc>
          <w:tcPr>
            <w:tcW w:w="8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-548005</wp:posOffset>
            </wp:positionV>
            <wp:extent cx="874395"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88" w:name="page89"/>
    <w:bookmarkEnd w:id="88"/>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8321"/>
        <w:spacing w:after="0"/>
        <w:rPr>
          <w:sz w:val="20"/>
          <w:szCs w:val="20"/>
          <w:color w:val="auto"/>
        </w:rPr>
      </w:pPr>
      <w:r>
        <w:rPr>
          <w:rFonts w:ascii="Arial" w:cs="Arial" w:eastAsia="Arial" w:hAnsi="Arial"/>
          <w:sz w:val="18"/>
          <w:szCs w:val="18"/>
          <w:color w:val="FFFFFF"/>
          <w:shd w:val="clear" w:color="auto" w:fill="454968"/>
        </w:rPr>
        <w:t>Appendix A</w:t>
      </w:r>
    </w:p>
    <w:p>
      <w:pPr>
        <w:spacing w:after="0" w:line="95" w:lineRule="exact"/>
        <w:rPr>
          <w:sz w:val="20"/>
          <w:szCs w:val="20"/>
          <w:color w:val="auto"/>
        </w:rPr>
      </w:pPr>
    </w:p>
    <w:p>
      <w:pPr>
        <w:jc w:val="center"/>
        <w:ind w:right="19"/>
        <w:spacing w:after="0" w:line="271" w:lineRule="auto"/>
        <w:rPr>
          <w:sz w:val="20"/>
          <w:szCs w:val="20"/>
          <w:color w:val="auto"/>
        </w:rPr>
      </w:pPr>
      <w:r>
        <w:rPr>
          <w:rFonts w:ascii="Arial" w:cs="Arial" w:eastAsia="Arial" w:hAnsi="Arial"/>
          <w:sz w:val="18"/>
          <w:szCs w:val="18"/>
          <w:b w:val="1"/>
          <w:bCs w:val="1"/>
          <w:color w:val="auto"/>
        </w:rPr>
        <w:t>Proposed Certificate of Amendment to the Amended and Restated Certificate of Incorporation of AbbVie Inc.</w:t>
      </w:r>
    </w:p>
    <w:p>
      <w:pPr>
        <w:spacing w:after="0" w:line="9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text of the proposed amendment is marked to reflect the proposed changes.</w:t>
      </w:r>
    </w:p>
    <w:p>
      <w:pPr>
        <w:spacing w:after="0" w:line="113" w:lineRule="exact"/>
        <w:rPr>
          <w:sz w:val="20"/>
          <w:szCs w:val="20"/>
          <w:color w:val="auto"/>
        </w:rPr>
      </w:pPr>
    </w:p>
    <w:p>
      <w:pPr>
        <w:ind w:left="641"/>
        <w:spacing w:after="0"/>
        <w:rPr>
          <w:sz w:val="20"/>
          <w:szCs w:val="20"/>
          <w:color w:val="auto"/>
        </w:rPr>
      </w:pPr>
      <w:r>
        <w:rPr>
          <w:rFonts w:ascii="Arial" w:cs="Arial" w:eastAsia="Arial" w:hAnsi="Arial"/>
          <w:sz w:val="18"/>
          <w:szCs w:val="18"/>
          <w:color w:val="auto"/>
        </w:rPr>
        <w:t>AbbVie Inc., a corporation organized and existing under and by virtue of the General Corporation Law of the</w:t>
      </w:r>
    </w:p>
    <w:p>
      <w:pPr>
        <w:ind w:left="1"/>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w:t>
      </w:r>
    </w:p>
    <w:p>
      <w:pPr>
        <w:spacing w:after="0" w:line="144" w:lineRule="exact"/>
        <w:rPr>
          <w:sz w:val="20"/>
          <w:szCs w:val="20"/>
          <w:color w:val="auto"/>
        </w:rPr>
      </w:pPr>
    </w:p>
    <w:p>
      <w:pPr>
        <w:ind w:left="1" w:right="520" w:hanging="1"/>
        <w:spacing w:after="0" w:line="246" w:lineRule="auto"/>
        <w:tabs>
          <w:tab w:leader="none" w:pos="25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Articles VIII and XI of AbbVie’s Amended and Restated Certificate of Incorporation are amended to read as follows: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TO BY-LAWS</w:t>
      </w:r>
    </w:p>
    <w:p>
      <w:pPr>
        <w:spacing w:after="0" w:line="117" w:lineRule="exact"/>
        <w:rPr>
          <w:sz w:val="20"/>
          <w:szCs w:val="20"/>
          <w:color w:val="auto"/>
        </w:rPr>
      </w:pPr>
    </w:p>
    <w:p>
      <w:pPr>
        <w:ind w:left="1" w:right="20" w:firstLine="648"/>
        <w:spacing w:after="0" w:line="235" w:lineRule="auto"/>
        <w:rPr>
          <w:sz w:val="20"/>
          <w:szCs w:val="20"/>
          <w:color w:val="auto"/>
        </w:rPr>
      </w:pPr>
      <w:r>
        <w:rPr>
          <w:rFonts w:ascii="Arial" w:cs="Arial" w:eastAsia="Arial" w:hAnsi="Arial"/>
          <w:sz w:val="18"/>
          <w:szCs w:val="18"/>
          <w:color w:val="auto"/>
        </w:rPr>
        <w:t>In furtherance and not in limitation of the powers conferred by the laws of the State of Delaware, the By-laws of the Corporation (the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may be altered, amended or repealed, in whole or in part, and new By-laws may be adopted, (i) by the affirmative vote of shares representing a majority of the outstanding shares of capital stock of the Corporation entitled to vote generally in the election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color w:val="auto"/>
          <w:strike w:val="1"/>
        </w:rPr>
        <w:t>that any proposed</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alteration, amendment or repeal of, or the 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w:t>
      </w:r>
      <w:r>
        <w:rPr>
          <w:rFonts w:ascii="Arial" w:cs="Arial" w:eastAsia="Arial" w:hAnsi="Arial"/>
          <w:sz w:val="18"/>
          <w:szCs w:val="18"/>
          <w:u w:val="single" w:color="auto"/>
          <w:color w:val="auto"/>
          <w:strike w:val="1"/>
        </w:rPr>
        <w:t>provided</w:t>
      </w:r>
      <w:r>
        <w:rPr>
          <w:rFonts w:ascii="Arial" w:cs="Arial" w:eastAsia="Arial" w:hAnsi="Arial"/>
          <w:sz w:val="18"/>
          <w:szCs w:val="18"/>
          <w:color w:val="auto"/>
          <w:strike w:val="1"/>
        </w:rPr>
        <w:t xml:space="preserve"> further,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8"/>
          <w:szCs w:val="18"/>
          <w:u w:val="single" w:color="auto"/>
          <w:color w:val="auto"/>
          <w:strike w:val="1"/>
        </w:rPr>
        <w:t>provided</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however</w:t>
      </w:r>
      <w:r>
        <w:rPr>
          <w:rFonts w:ascii="Arial" w:cs="Arial" w:eastAsia="Arial" w:hAnsi="Arial"/>
          <w:sz w:val="18"/>
          <w:szCs w:val="18"/>
          <w:color w:val="auto"/>
          <w:strike w:val="1"/>
        </w:rPr>
        <w:t>, that the case of any such action at a meeting of the Board of Directors, notice of the proposed alteration, amendment, repeal or adoption of the new By-law or By-laws must be given not less than two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-660400</wp:posOffset>
            </wp:positionV>
            <wp:extent cx="8255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113" w:lineRule="exact"/>
        <w:rPr>
          <w:sz w:val="20"/>
          <w:szCs w:val="20"/>
          <w:color w:val="auto"/>
        </w:rPr>
      </w:pPr>
    </w:p>
    <w:p>
      <w:pPr>
        <w:ind w:left="4461"/>
        <w:spacing w:after="0"/>
        <w:rPr>
          <w:sz w:val="20"/>
          <w:szCs w:val="20"/>
          <w:color w:val="auto"/>
        </w:rPr>
      </w:pPr>
      <w:r>
        <w:rPr>
          <w:rFonts w:ascii="Arial" w:cs="Arial" w:eastAsia="Arial" w:hAnsi="Arial"/>
          <w:sz w:val="18"/>
          <w:szCs w:val="18"/>
          <w:color w:val="auto"/>
        </w:rPr>
        <w:t>* * *</w:t>
      </w:r>
    </w:p>
    <w:p>
      <w:pPr>
        <w:spacing w:after="0" w:line="95" w:lineRule="exact"/>
        <w:rPr>
          <w:sz w:val="20"/>
          <w:szCs w:val="20"/>
          <w:color w:val="auto"/>
        </w:rPr>
      </w:pPr>
    </w:p>
    <w:p>
      <w:pPr>
        <w:ind w:left="4121"/>
        <w:spacing w:after="0"/>
        <w:rPr>
          <w:sz w:val="20"/>
          <w:szCs w:val="20"/>
          <w:color w:val="auto"/>
        </w:rPr>
      </w:pPr>
      <w:r>
        <w:rPr>
          <w:rFonts w:ascii="Arial" w:cs="Arial" w:eastAsia="Arial" w:hAnsi="Arial"/>
          <w:sz w:val="18"/>
          <w:szCs w:val="18"/>
          <w:b w:val="1"/>
          <w:bCs w:val="1"/>
          <w:color w:val="auto"/>
        </w:rPr>
        <w:t>ARTICLE XI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17" w:lineRule="exact"/>
        <w:rPr>
          <w:sz w:val="20"/>
          <w:szCs w:val="20"/>
          <w:color w:val="auto"/>
        </w:rPr>
      </w:pPr>
    </w:p>
    <w:p>
      <w:pPr>
        <w:ind w:left="1" w:right="40" w:firstLine="648"/>
        <w:spacing w:after="0" w:line="236" w:lineRule="auto"/>
        <w:rPr>
          <w:sz w:val="20"/>
          <w:szCs w:val="20"/>
          <w:color w:val="auto"/>
        </w:rPr>
      </w:pPr>
      <w:r>
        <w:rPr>
          <w:rFonts w:ascii="Arial" w:cs="Arial" w:eastAsia="Arial" w:hAnsi="Arial"/>
          <w:sz w:val="18"/>
          <w:szCs w:val="18"/>
          <w:u w:val="single" w:color="auto"/>
          <w:color w:val="auto"/>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w:t>
      </w:r>
      <w:r>
        <w:rPr>
          <w:rFonts w:ascii="Arial" w:cs="Arial" w:eastAsia="Arial" w:hAnsi="Arial"/>
          <w:sz w:val="18"/>
          <w:szCs w:val="18"/>
          <w:color w:val="auto"/>
        </w:rPr>
        <w:t xml:space="preserve">. </w:t>
      </w:r>
      <w:r>
        <w:rPr>
          <w:rFonts w:ascii="Arial" w:cs="Arial" w:eastAsia="Arial" w:hAnsi="Arial"/>
          <w:sz w:val="18"/>
          <w:szCs w:val="18"/>
          <w:color w:val="auto"/>
          <w:strike w:val="1"/>
        </w:rPr>
        <w:t>In furtherance and not in limitation of the powers conferred</w:t>
      </w:r>
      <w:r>
        <w:rPr>
          <w:rFonts w:ascii="Arial" w:cs="Arial" w:eastAsia="Arial" w:hAnsi="Arial"/>
          <w:sz w:val="18"/>
          <w:szCs w:val="18"/>
          <w:color w:val="auto"/>
        </w:rPr>
        <w:t xml:space="preserve"> </w:t>
      </w:r>
      <w:r>
        <w:rPr>
          <w:rFonts w:ascii="Arial" w:cs="Arial" w:eastAsia="Arial" w:hAnsi="Arial"/>
          <w:sz w:val="18"/>
          <w:szCs w:val="18"/>
          <w:color w:val="auto"/>
          <w:strike w:val="1"/>
        </w:rPr>
        <w:t>by the laws of the State of 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124" w:lineRule="exact"/>
        <w:rPr>
          <w:sz w:val="20"/>
          <w:szCs w:val="20"/>
          <w:color w:val="auto"/>
        </w:rPr>
      </w:pPr>
    </w:p>
    <w:p>
      <w:pPr>
        <w:ind w:left="1" w:right="60" w:hanging="1"/>
        <w:spacing w:after="0" w:line="246" w:lineRule="auto"/>
        <w:tabs>
          <w:tab w:leader="none" w:pos="25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foregoing amendment to the Amended and Restated Certificate of Incorporation of the Corporation was duly adopted in accordance with the provisions of Section 242 of the Delaware General Corporation Law.</w:t>
      </w:r>
    </w:p>
    <w:p>
      <w:pPr>
        <w:spacing w:after="0" w:line="80" w:lineRule="exact"/>
        <w:rPr>
          <w:sz w:val="20"/>
          <w:szCs w:val="20"/>
          <w:color w:val="auto"/>
        </w:rPr>
      </w:pPr>
    </w:p>
    <w:p>
      <w:pPr>
        <w:ind w:left="1" w:right="100"/>
        <w:spacing w:after="0" w:line="247"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the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be executed by the undersigned officer, duly authorized, as of the day of</w:t>
      </w:r>
    </w:p>
    <w:p>
      <w:pPr>
        <w:spacing w:after="0" w:line="1" w:lineRule="exact"/>
        <w:rPr>
          <w:sz w:val="20"/>
          <w:szCs w:val="20"/>
          <w:color w:val="auto"/>
        </w:rPr>
      </w:pPr>
    </w:p>
    <w:p>
      <w:pPr>
        <w:ind w:left="441"/>
        <w:spacing w:after="0"/>
        <w:rPr>
          <w:sz w:val="20"/>
          <w:szCs w:val="20"/>
          <w:color w:val="auto"/>
        </w:rPr>
      </w:pPr>
      <w:r>
        <w:rPr>
          <w:rFonts w:ascii="Arial" w:cs="Arial" w:eastAsia="Arial" w:hAnsi="Arial"/>
          <w:sz w:val="18"/>
          <w:szCs w:val="18"/>
          <w:color w:val="auto"/>
        </w:rPr>
        <w:t>2022.</w:t>
      </w:r>
    </w:p>
    <w:p>
      <w:pPr>
        <w:spacing w:after="0" w:line="136" w:lineRule="exact"/>
        <w:rPr>
          <w:sz w:val="20"/>
          <w:szCs w:val="20"/>
          <w:color w:val="auto"/>
        </w:rPr>
      </w:pPr>
    </w:p>
    <w:p>
      <w:pPr>
        <w:ind w:left="4721"/>
        <w:spacing w:after="0"/>
        <w:rPr>
          <w:sz w:val="20"/>
          <w:szCs w:val="20"/>
          <w:color w:val="auto"/>
        </w:rPr>
      </w:pPr>
      <w:r>
        <w:rPr>
          <w:rFonts w:ascii="Arial" w:cs="Arial" w:eastAsia="Arial" w:hAnsi="Arial"/>
          <w:sz w:val="18"/>
          <w:szCs w:val="18"/>
          <w:b w:val="1"/>
          <w:bCs w:val="1"/>
          <w:color w:val="auto"/>
        </w:rPr>
        <w:t>AbbVie Inc.</w:t>
      </w:r>
    </w:p>
    <w:p>
      <w:pPr>
        <w:spacing w:after="0" w:line="153" w:lineRule="exact"/>
        <w:rPr>
          <w:sz w:val="20"/>
          <w:szCs w:val="20"/>
          <w:color w:val="auto"/>
        </w:rPr>
      </w:pPr>
    </w:p>
    <w:p>
      <w:pPr>
        <w:ind w:left="4721"/>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-1905</wp:posOffset>
            </wp:positionV>
            <wp:extent cx="25203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ind w:left="4721"/>
        <w:spacing w:after="0"/>
        <w:rPr>
          <w:sz w:val="20"/>
          <w:szCs w:val="20"/>
          <w:color w:val="auto"/>
        </w:rPr>
      </w:pPr>
      <w:r>
        <w:rPr>
          <w:rFonts w:ascii="Arial" w:cs="Arial" w:eastAsia="Arial" w:hAnsi="Arial"/>
          <w:sz w:val="18"/>
          <w:szCs w:val="18"/>
          <w:color w:val="auto"/>
        </w:rPr>
        <w:t>Name:</w:t>
      </w:r>
    </w:p>
    <w:p>
      <w:pPr>
        <w:ind w:left="4721"/>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352"/>
        </w:trPr>
        <w:tc>
          <w:tcPr>
            <w:tcW w:w="8060" w:type="dxa"/>
            <w:vAlign w:val="bottom"/>
          </w:tcPr>
          <w:p>
            <w:pPr>
              <w:ind w:left="504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i w:val="1"/>
                <w:iCs w:val="1"/>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w w:val="99"/>
              </w:rPr>
              <w:t>A-1</w:t>
            </w:r>
          </w:p>
        </w:tc>
      </w:tr>
      <w:tr>
        <w:trPr>
          <w:trHeight w:val="548"/>
        </w:trPr>
        <w:tc>
          <w:tcPr>
            <w:tcW w:w="8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-548005</wp:posOffset>
            </wp:positionV>
            <wp:extent cx="874395" cy="1631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89" w:name="page90"/>
    <w:bookmarkEnd w:id="89"/>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FFFFFF"/>
          <w:shd w:val="clear" w:color="auto" w:fill="454968"/>
        </w:rPr>
        <w:t>Appendix B</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AbbVie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GAAP Reported to Non-GAAP Adjusted Information</w:t>
      </w:r>
    </w:p>
    <w:p>
      <w:pPr>
        <w:jc w:val="center"/>
        <w:ind w:right="19"/>
        <w:spacing w:after="0" w:line="234" w:lineRule="auto"/>
        <w:rPr>
          <w:sz w:val="20"/>
          <w:szCs w:val="20"/>
          <w:color w:val="auto"/>
        </w:rPr>
      </w:pPr>
      <w:r>
        <w:rPr>
          <w:rFonts w:ascii="Arial" w:cs="Arial" w:eastAsia="Arial" w:hAnsi="Arial"/>
          <w:sz w:val="18"/>
          <w:szCs w:val="18"/>
          <w:b w:val="1"/>
          <w:bCs w:val="1"/>
          <w:color w:val="auto"/>
        </w:rPr>
        <w:t>Year Ended December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071D49"/>
        </w:rPr>
        <w:t>Non-GAAP Financial Results</w:t>
      </w:r>
    </w:p>
    <w:p>
      <w:pPr>
        <w:spacing w:after="0" w:line="207" w:lineRule="exact"/>
        <w:rPr>
          <w:sz w:val="20"/>
          <w:szCs w:val="20"/>
          <w:color w:val="auto"/>
        </w:rPr>
      </w:pPr>
    </w:p>
    <w:p>
      <w:pPr>
        <w:ind w:left="1" w:right="40"/>
        <w:spacing w:after="0" w:line="237" w:lineRule="auto"/>
        <w:rPr>
          <w:sz w:val="20"/>
          <w:szCs w:val="20"/>
          <w:color w:val="auto"/>
        </w:rPr>
      </w:pPr>
      <w:r>
        <w:rPr>
          <w:rFonts w:ascii="Arial" w:cs="Arial" w:eastAsia="Arial" w:hAnsi="Arial"/>
          <w:sz w:val="18"/>
          <w:szCs w:val="18"/>
          <w:color w:val="auto"/>
        </w:rPr>
        <w:t>Financial results are presented on both a reported and a non-GAAP basis. Reported results were prepared in accordance with GAAP and include all revenues and expenses recognized during the period. Non-GAAP results adjust for certain non -cash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454968"/>
        </w:rPr>
        <w:t>Business Performance Highlights Reconciliations</w:t>
      </w:r>
    </w:p>
    <w:p>
      <w:pPr>
        <w:spacing w:after="0" w:line="193" w:lineRule="exact"/>
        <w:rPr>
          <w:sz w:val="20"/>
          <w:szCs w:val="20"/>
          <w:color w:val="auto"/>
        </w:rPr>
      </w:pPr>
    </w:p>
    <w:p>
      <w:pPr>
        <w:ind w:left="1"/>
        <w:spacing w:after="0"/>
        <w:tabs>
          <w:tab w:leader="none" w:pos="301" w:val="left"/>
        </w:tabs>
        <w:rPr>
          <w:sz w:val="20"/>
          <w:szCs w:val="20"/>
          <w:color w:val="auto"/>
        </w:rPr>
      </w:pPr>
      <w:r>
        <w:rPr>
          <w:rFonts w:ascii="Arial" w:cs="Arial" w:eastAsia="Arial" w:hAnsi="Arial"/>
          <w:sz w:val="18"/>
          <w:szCs w:val="18"/>
          <w:color w:val="auto"/>
        </w:rPr>
        <w:t>1.</w:t>
        <w:tab/>
        <w:t>Net Revenues since 2013 Inception and Compound Annual Growth Rate</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164"/>
              <w:spacing w:after="0" w:line="161" w:lineRule="exact"/>
              <w:rPr>
                <w:sz w:val="20"/>
                <w:szCs w:val="20"/>
                <w:color w:val="auto"/>
              </w:rPr>
            </w:pPr>
            <w:r>
              <w:rPr>
                <w:rFonts w:ascii="Arial" w:cs="Arial" w:eastAsia="Arial" w:hAnsi="Arial"/>
                <w:sz w:val="14"/>
                <w:szCs w:val="14"/>
                <w:b w:val="1"/>
                <w:bCs w:val="1"/>
                <w:color w:val="454968"/>
              </w:rPr>
              <w:t>2021</w:t>
            </w:r>
            <w:r>
              <w:rPr>
                <w:rFonts w:ascii="MS PGothic" w:cs="MS PGothic" w:eastAsia="MS PGothic" w:hAnsi="MS PGothic"/>
                <w:sz w:val="14"/>
                <w:szCs w:val="14"/>
                <w:b w:val="1"/>
                <w:bCs w:val="1"/>
                <w:color w:val="454968"/>
              </w:rPr>
              <w:t>‑</w:t>
            </w:r>
          </w:p>
        </w:tc>
      </w:tr>
      <w:tr>
        <w:trPr>
          <w:trHeight w:val="162"/>
        </w:trPr>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454968"/>
              </w:rPr>
              <w:t>2013</w:t>
            </w:r>
          </w:p>
        </w:tc>
      </w:tr>
      <w:tr>
        <w:trPr>
          <w:trHeight w:val="175"/>
        </w:trPr>
        <w:tc>
          <w:tcPr>
            <w:tcW w:w="1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2021</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2020</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2019</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2018</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2017</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2016</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2015</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2014</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454968"/>
              </w:rPr>
              <w:t>2013</w:t>
            </w: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454968"/>
              </w:rPr>
              <w:t>CAGR</w:t>
            </w:r>
          </w:p>
        </w:tc>
      </w:tr>
      <w:tr>
        <w:trPr>
          <w:trHeight w:val="164"/>
        </w:trPr>
        <w:tc>
          <w:tcPr>
            <w:tcW w:w="1320" w:type="dxa"/>
            <w:vAlign w:val="bottom"/>
            <w:shd w:val="clear" w:color="auto" w:fill="E7E7E7"/>
          </w:tcPr>
          <w:p>
            <w:pPr>
              <w:spacing w:after="0" w:line="165" w:lineRule="exact"/>
              <w:rPr>
                <w:sz w:val="20"/>
                <w:szCs w:val="20"/>
                <w:color w:val="auto"/>
              </w:rPr>
            </w:pPr>
            <w:r>
              <w:rPr>
                <w:rFonts w:ascii="Arial" w:cs="Arial" w:eastAsia="Arial" w:hAnsi="Arial"/>
                <w:sz w:val="16"/>
                <w:szCs w:val="16"/>
                <w:b w:val="1"/>
                <w:bCs w:val="1"/>
                <w:color w:val="auto"/>
              </w:rPr>
              <w:t>As reported</w:t>
            </w:r>
          </w:p>
        </w:tc>
        <w:tc>
          <w:tcPr>
            <w:tcW w:w="3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18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700" w:type="dxa"/>
            <w:vAlign w:val="bottom"/>
            <w:shd w:val="clear" w:color="auto" w:fill="E7E7E7"/>
          </w:tcPr>
          <w:p>
            <w:pPr>
              <w:spacing w:after="0"/>
              <w:rPr>
                <w:sz w:val="14"/>
                <w:szCs w:val="14"/>
                <w:color w:val="auto"/>
              </w:rPr>
            </w:pPr>
          </w:p>
        </w:tc>
        <w:tc>
          <w:tcPr>
            <w:tcW w:w="780" w:type="dxa"/>
            <w:vAlign w:val="bottom"/>
            <w:shd w:val="clear" w:color="auto" w:fill="E7E7E7"/>
          </w:tcPr>
          <w:p>
            <w:pPr>
              <w:spacing w:after="0"/>
              <w:rPr>
                <w:sz w:val="14"/>
                <w:szCs w:val="14"/>
                <w:color w:val="auto"/>
              </w:rPr>
            </w:pPr>
          </w:p>
        </w:tc>
      </w:tr>
      <w:tr>
        <w:trPr>
          <w:trHeight w:val="207"/>
        </w:trPr>
        <w:tc>
          <w:tcPr>
            <w:tcW w:w="1320" w:type="dxa"/>
            <w:vAlign w:val="bottom"/>
            <w:shd w:val="clear" w:color="auto" w:fill="E7E7E7"/>
          </w:tcPr>
          <w:p>
            <w:pPr>
              <w:spacing w:after="0"/>
              <w:rPr>
                <w:sz w:val="20"/>
                <w:szCs w:val="20"/>
                <w:color w:val="auto"/>
              </w:rPr>
            </w:pPr>
            <w:r>
              <w:rPr>
                <w:rFonts w:ascii="Arial" w:cs="Arial" w:eastAsia="Arial" w:hAnsi="Arial"/>
                <w:sz w:val="16"/>
                <w:szCs w:val="16"/>
                <w:b w:val="1"/>
                <w:bCs w:val="1"/>
                <w:color w:val="auto"/>
              </w:rPr>
              <w:t>(GAAP)</w:t>
            </w:r>
          </w:p>
        </w:tc>
        <w:tc>
          <w:tcPr>
            <w:tcW w:w="36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7"/>
          </w:tcPr>
          <w:p>
            <w:pPr>
              <w:jc w:val="right"/>
              <w:spacing w:after="0"/>
              <w:rPr>
                <w:sz w:val="20"/>
                <w:szCs w:val="20"/>
                <w:color w:val="auto"/>
              </w:rPr>
            </w:pPr>
            <w:r>
              <w:rPr>
                <w:rFonts w:ascii="Arial" w:cs="Arial" w:eastAsia="Arial" w:hAnsi="Arial"/>
                <w:sz w:val="16"/>
                <w:szCs w:val="16"/>
                <w:color w:val="auto"/>
              </w:rPr>
              <w:t>56,197</w:t>
            </w:r>
          </w:p>
        </w:tc>
        <w:tc>
          <w:tcPr>
            <w:tcW w:w="140" w:type="dxa"/>
            <w:vAlign w:val="bottom"/>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45,804</w:t>
            </w:r>
          </w:p>
        </w:tc>
        <w:tc>
          <w:tcPr>
            <w:tcW w:w="160" w:type="dxa"/>
            <w:vAlign w:val="bottom"/>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33,266</w:t>
            </w:r>
          </w:p>
        </w:tc>
        <w:tc>
          <w:tcPr>
            <w:tcW w:w="1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32,753</w:t>
            </w:r>
          </w:p>
        </w:tc>
        <w:tc>
          <w:tcPr>
            <w:tcW w:w="140" w:type="dxa"/>
            <w:vAlign w:val="bottom"/>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28,216</w:t>
            </w:r>
          </w:p>
        </w:tc>
        <w:tc>
          <w:tcPr>
            <w:tcW w:w="160" w:type="dxa"/>
            <w:vAlign w:val="bottom"/>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25,638</w:t>
            </w:r>
          </w:p>
        </w:tc>
        <w:tc>
          <w:tcPr>
            <w:tcW w:w="140" w:type="dxa"/>
            <w:vAlign w:val="bottom"/>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22,859</w:t>
            </w:r>
          </w:p>
        </w:tc>
        <w:tc>
          <w:tcPr>
            <w:tcW w:w="160" w:type="dxa"/>
            <w:vAlign w:val="bottom"/>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19,960</w:t>
            </w:r>
          </w:p>
        </w:tc>
        <w:tc>
          <w:tcPr>
            <w:tcW w:w="140" w:type="dxa"/>
            <w:vAlign w:val="bottom"/>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7E7E7"/>
          </w:tcPr>
          <w:p>
            <w:pPr>
              <w:jc w:val="right"/>
              <w:ind w:right="61"/>
              <w:spacing w:after="0"/>
              <w:rPr>
                <w:sz w:val="20"/>
                <w:szCs w:val="20"/>
                <w:color w:val="auto"/>
              </w:rPr>
            </w:pPr>
            <w:r>
              <w:rPr>
                <w:rFonts w:ascii="Arial" w:cs="Arial" w:eastAsia="Arial" w:hAnsi="Arial"/>
                <w:sz w:val="16"/>
                <w:szCs w:val="16"/>
                <w:color w:val="auto"/>
              </w:rPr>
              <w:t>18,790</w:t>
            </w:r>
          </w:p>
        </w:tc>
        <w:tc>
          <w:tcPr>
            <w:tcW w:w="7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14.7 %</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Adjusted for</w:t>
            </w: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specified items:</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w:t>
            </w:r>
          </w:p>
        </w:tc>
      </w:tr>
      <w:tr>
        <w:trPr>
          <w:trHeight w:val="164"/>
        </w:trPr>
        <w:tc>
          <w:tcPr>
            <w:tcW w:w="1320" w:type="dxa"/>
            <w:vAlign w:val="bottom"/>
            <w:shd w:val="clear" w:color="auto" w:fill="E7E7E7"/>
          </w:tcPr>
          <w:p>
            <w:pPr>
              <w:spacing w:after="0" w:line="165" w:lineRule="exact"/>
              <w:rPr>
                <w:sz w:val="20"/>
                <w:szCs w:val="20"/>
                <w:color w:val="auto"/>
              </w:rPr>
            </w:pPr>
            <w:r>
              <w:rPr>
                <w:rFonts w:ascii="Arial" w:cs="Arial" w:eastAsia="Arial" w:hAnsi="Arial"/>
                <w:sz w:val="16"/>
                <w:szCs w:val="16"/>
                <w:b w:val="1"/>
                <w:bCs w:val="1"/>
                <w:color w:val="auto"/>
              </w:rPr>
              <w:t>As adjusted</w:t>
            </w:r>
          </w:p>
        </w:tc>
        <w:tc>
          <w:tcPr>
            <w:tcW w:w="3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580" w:type="dxa"/>
            <w:vAlign w:val="bottom"/>
            <w:shd w:val="clear" w:color="auto" w:fill="E7E7E7"/>
          </w:tcPr>
          <w:p>
            <w:pPr>
              <w:spacing w:after="0"/>
              <w:rPr>
                <w:sz w:val="14"/>
                <w:szCs w:val="14"/>
                <w:color w:val="auto"/>
              </w:rPr>
            </w:pPr>
          </w:p>
        </w:tc>
        <w:tc>
          <w:tcPr>
            <w:tcW w:w="18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0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620" w:type="dxa"/>
            <w:vAlign w:val="bottom"/>
            <w:shd w:val="clear" w:color="auto" w:fill="E7E7E7"/>
          </w:tcPr>
          <w:p>
            <w:pPr>
              <w:spacing w:after="0"/>
              <w:rPr>
                <w:sz w:val="14"/>
                <w:szCs w:val="14"/>
                <w:color w:val="auto"/>
              </w:rPr>
            </w:pPr>
          </w:p>
        </w:tc>
        <w:tc>
          <w:tcPr>
            <w:tcW w:w="140" w:type="dxa"/>
            <w:vAlign w:val="bottom"/>
            <w:shd w:val="clear" w:color="auto" w:fill="E7E7E7"/>
          </w:tcPr>
          <w:p>
            <w:pPr>
              <w:spacing w:after="0"/>
              <w:rPr>
                <w:sz w:val="14"/>
                <w:szCs w:val="14"/>
                <w:color w:val="auto"/>
              </w:rPr>
            </w:pPr>
          </w:p>
        </w:tc>
        <w:tc>
          <w:tcPr>
            <w:tcW w:w="700" w:type="dxa"/>
            <w:vAlign w:val="bottom"/>
            <w:shd w:val="clear" w:color="auto" w:fill="E7E7E7"/>
          </w:tcPr>
          <w:p>
            <w:pPr>
              <w:spacing w:after="0"/>
              <w:rPr>
                <w:sz w:val="14"/>
                <w:szCs w:val="14"/>
                <w:color w:val="auto"/>
              </w:rPr>
            </w:pPr>
          </w:p>
        </w:tc>
        <w:tc>
          <w:tcPr>
            <w:tcW w:w="780" w:type="dxa"/>
            <w:vAlign w:val="bottom"/>
            <w:shd w:val="clear" w:color="auto" w:fill="E7E7E7"/>
          </w:tcPr>
          <w:p>
            <w:pPr>
              <w:spacing w:after="0"/>
              <w:rPr>
                <w:sz w:val="14"/>
                <w:szCs w:val="14"/>
                <w:color w:val="auto"/>
              </w:rPr>
            </w:pPr>
          </w:p>
        </w:tc>
      </w:tr>
      <w:tr>
        <w:trPr>
          <w:trHeight w:val="207"/>
        </w:trPr>
        <w:tc>
          <w:tcPr>
            <w:tcW w:w="1320" w:type="dxa"/>
            <w:vAlign w:val="bottom"/>
            <w:tcBorders>
              <w:bottom w:val="single" w:sz="8" w:color="auto"/>
            </w:tcBorders>
            <w:shd w:val="clear" w:color="auto" w:fill="E7E7E7"/>
          </w:tcPr>
          <w:p>
            <w:pPr>
              <w:spacing w:after="0" w:line="184" w:lineRule="exact"/>
              <w:rPr>
                <w:sz w:val="20"/>
                <w:szCs w:val="20"/>
                <w:color w:val="auto"/>
              </w:rPr>
            </w:pPr>
            <w:r>
              <w:rPr>
                <w:rFonts w:ascii="Arial" w:cs="Arial" w:eastAsia="Arial" w:hAnsi="Arial"/>
                <w:sz w:val="16"/>
                <w:szCs w:val="16"/>
                <w:b w:val="1"/>
                <w:bCs w:val="1"/>
                <w:color w:val="auto"/>
              </w:rPr>
              <w:t>(non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w:t>
            </w:r>
          </w:p>
        </w:tc>
        <w:tc>
          <w:tcPr>
            <w:tcW w:w="3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56,122</w:t>
            </w:r>
          </w:p>
        </w:tc>
        <w:tc>
          <w:tcPr>
            <w:tcW w:w="1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45,784</w:t>
            </w:r>
          </w:p>
        </w:tc>
        <w:tc>
          <w:tcPr>
            <w:tcW w:w="1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33,266</w:t>
            </w:r>
          </w:p>
        </w:tc>
        <w:tc>
          <w:tcPr>
            <w:tcW w:w="1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32,733</w:t>
            </w:r>
          </w:p>
        </w:tc>
        <w:tc>
          <w:tcPr>
            <w:tcW w:w="1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28,216</w:t>
            </w:r>
          </w:p>
        </w:tc>
        <w:tc>
          <w:tcPr>
            <w:tcW w:w="1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25,560</w:t>
            </w:r>
          </w:p>
        </w:tc>
        <w:tc>
          <w:tcPr>
            <w:tcW w:w="1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22,819</w:t>
            </w:r>
          </w:p>
        </w:tc>
        <w:tc>
          <w:tcPr>
            <w:tcW w:w="1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19,879</w:t>
            </w:r>
          </w:p>
        </w:tc>
        <w:tc>
          <w:tcPr>
            <w:tcW w:w="1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E7E7E7"/>
          </w:tcPr>
          <w:p>
            <w:pPr>
              <w:jc w:val="right"/>
              <w:ind w:right="61"/>
              <w:spacing w:after="0"/>
              <w:rPr>
                <w:sz w:val="20"/>
                <w:szCs w:val="20"/>
                <w:color w:val="auto"/>
              </w:rPr>
            </w:pPr>
            <w:r>
              <w:rPr>
                <w:rFonts w:ascii="Arial" w:cs="Arial" w:eastAsia="Arial" w:hAnsi="Arial"/>
                <w:sz w:val="16"/>
                <w:szCs w:val="16"/>
                <w:color w:val="auto"/>
              </w:rPr>
              <w:t>18,790</w:t>
            </w:r>
          </w:p>
        </w:tc>
        <w:tc>
          <w:tcPr>
            <w:tcW w:w="7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6"/>
                <w:szCs w:val="16"/>
                <w:color w:val="auto"/>
              </w:rPr>
              <w:t>14.7 %</w:t>
            </w:r>
          </w:p>
        </w:tc>
      </w:tr>
    </w:tbl>
    <w:p>
      <w:pPr>
        <w:spacing w:after="0" w:line="202" w:lineRule="exact"/>
        <w:rPr>
          <w:sz w:val="20"/>
          <w:szCs w:val="20"/>
          <w:color w:val="auto"/>
        </w:rPr>
      </w:pPr>
    </w:p>
    <w:p>
      <w:pPr>
        <w:ind w:left="1" w:right="60"/>
        <w:spacing w:after="0" w:line="236" w:lineRule="auto"/>
        <w:rPr>
          <w:sz w:val="20"/>
          <w:szCs w:val="20"/>
          <w:color w:val="auto"/>
        </w:rPr>
      </w:pPr>
      <w:r>
        <w:rPr>
          <w:rFonts w:ascii="Arial" w:cs="Arial" w:eastAsia="Arial" w:hAnsi="Arial"/>
          <w:sz w:val="18"/>
          <w:szCs w:val="18"/>
          <w:color w:val="auto"/>
        </w:rPr>
        <w:t>The 2021 specified revenue item represents a milestone payment received under a previously announced collaboration. The 2020 specified revenue item represents an upfront payment received under a previously announced legacy Allergan collaboration. The 2018 specified revenue item represents a milestone payment received under a previously announced collaboration. The 2016 specified revenue items included milestone revenue under previously announced collaborations and prior period royalty revenue related to a patent lawsuit settlement. The 2015 net revenue specified item represents a milestone payment received under a previously announced collaboration. The 2014 net revenue specified item reflects royalty income from prior periods recognized in the fourth quarter of 2014 as a result of the settlement of a licensing arrangement.</w:t>
      </w:r>
    </w:p>
    <w:p>
      <w:pPr>
        <w:spacing w:after="0" w:line="167" w:lineRule="exact"/>
        <w:rPr>
          <w:sz w:val="20"/>
          <w:szCs w:val="20"/>
          <w:color w:val="auto"/>
        </w:rPr>
      </w:pPr>
    </w:p>
    <w:p>
      <w:pPr>
        <w:ind w:left="321" w:right="560" w:hanging="321"/>
        <w:spacing w:after="0" w:line="246" w:lineRule="auto"/>
        <w:tabs>
          <w:tab w:leader="none" w:pos="3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Diluted Earnings Per Share Compound Annual Growth Rate and Operating Margin Expansion since 2013 Inception</w:t>
      </w:r>
    </w:p>
    <w:p>
      <w:pPr>
        <w:spacing w:after="0" w:line="157"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454968"/>
              </w:rPr>
              <w:t>Earnings Per Share</w:t>
            </w:r>
          </w:p>
        </w:tc>
        <w:tc>
          <w:tcPr>
            <w:tcW w:w="820" w:type="dxa"/>
            <w:vAlign w:val="bottom"/>
          </w:tcPr>
          <w:p>
            <w:pPr>
              <w:spacing w:after="0"/>
              <w:rPr>
                <w:sz w:val="15"/>
                <w:szCs w:val="15"/>
                <w:color w:val="auto"/>
              </w:rPr>
            </w:pPr>
          </w:p>
        </w:tc>
        <w:tc>
          <w:tcPr>
            <w:tcW w:w="2520" w:type="dxa"/>
            <w:vAlign w:val="bottom"/>
            <w:gridSpan w:val="3"/>
          </w:tcPr>
          <w:p>
            <w:pPr>
              <w:jc w:val="right"/>
              <w:ind w:right="143"/>
              <w:spacing w:after="0"/>
              <w:rPr>
                <w:sz w:val="20"/>
                <w:szCs w:val="20"/>
                <w:color w:val="auto"/>
              </w:rPr>
            </w:pPr>
            <w:r>
              <w:rPr>
                <w:rFonts w:ascii="Arial" w:cs="Arial" w:eastAsia="Arial" w:hAnsi="Arial"/>
                <w:sz w:val="14"/>
                <w:szCs w:val="14"/>
                <w:b w:val="1"/>
                <w:bCs w:val="1"/>
                <w:color w:val="454968"/>
              </w:rPr>
              <w:t>Operating Margin Expansion</w:t>
            </w:r>
          </w:p>
        </w:tc>
        <w:tc>
          <w:tcPr>
            <w:tcW w:w="920" w:type="dxa"/>
            <w:vAlign w:val="bottom"/>
          </w:tcPr>
          <w:p>
            <w:pPr>
              <w:spacing w:after="0"/>
              <w:rPr>
                <w:sz w:val="15"/>
                <w:szCs w:val="15"/>
                <w:color w:val="auto"/>
              </w:rPr>
            </w:pPr>
          </w:p>
        </w:tc>
      </w:tr>
      <w:tr>
        <w:trPr>
          <w:trHeight w:val="142"/>
        </w:trPr>
        <w:tc>
          <w:tcPr>
            <w:tcW w:w="2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454968"/>
              </w:rPr>
              <w:t>2021</w:t>
            </w:r>
            <w:r>
              <w:rPr>
                <w:rFonts w:ascii="MS PGothic" w:cs="MS PGothic" w:eastAsia="MS PGothic" w:hAnsi="MS PGothic"/>
                <w:sz w:val="14"/>
                <w:szCs w:val="14"/>
                <w:b w:val="1"/>
                <w:bCs w:val="1"/>
                <w:color w:val="454968"/>
              </w:rPr>
              <w:t>‑</w:t>
            </w:r>
            <w:r>
              <w:rPr>
                <w:rFonts w:ascii="Arial" w:cs="Arial" w:eastAsia="Arial" w:hAnsi="Arial"/>
                <w:sz w:val="14"/>
                <w:szCs w:val="14"/>
                <w:b w:val="1"/>
                <w:bCs w:val="1"/>
                <w:color w:val="454968"/>
              </w:rPr>
              <w:t>2013</w:t>
            </w: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83"/>
              <w:spacing w:after="0" w:line="143" w:lineRule="exact"/>
              <w:rPr>
                <w:sz w:val="20"/>
                <w:szCs w:val="20"/>
                <w:color w:val="auto"/>
              </w:rPr>
            </w:pPr>
            <w:r>
              <w:rPr>
                <w:rFonts w:ascii="Arial" w:cs="Arial" w:eastAsia="Arial" w:hAnsi="Arial"/>
                <w:sz w:val="14"/>
                <w:szCs w:val="14"/>
                <w:b w:val="1"/>
                <w:bCs w:val="1"/>
                <w:color w:val="454968"/>
              </w:rPr>
              <w:t>2021</w:t>
            </w:r>
            <w:r>
              <w:rPr>
                <w:rFonts w:ascii="MS PGothic" w:cs="MS PGothic" w:eastAsia="MS PGothic" w:hAnsi="MS PGothic"/>
                <w:sz w:val="14"/>
                <w:szCs w:val="14"/>
                <w:b w:val="1"/>
                <w:bCs w:val="1"/>
                <w:color w:val="454968"/>
              </w:rPr>
              <w:t>‑</w:t>
            </w:r>
            <w:r>
              <w:rPr>
                <w:rFonts w:ascii="Arial" w:cs="Arial" w:eastAsia="Arial" w:hAnsi="Arial"/>
                <w:sz w:val="14"/>
                <w:szCs w:val="14"/>
                <w:b w:val="1"/>
                <w:bCs w:val="1"/>
                <w:color w:val="454968"/>
              </w:rPr>
              <w:t>2020</w:t>
            </w: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454968"/>
              </w:rPr>
              <w:t>2021</w:t>
            </w:r>
            <w:r>
              <w:rPr>
                <w:rFonts w:ascii="MS PGothic" w:cs="MS PGothic" w:eastAsia="MS PGothic" w:hAnsi="MS PGothic"/>
                <w:sz w:val="14"/>
                <w:szCs w:val="14"/>
                <w:b w:val="1"/>
                <w:bCs w:val="1"/>
                <w:color w:val="454968"/>
              </w:rPr>
              <w:t>‑</w:t>
            </w:r>
            <w:r>
              <w:rPr>
                <w:rFonts w:ascii="Arial" w:cs="Arial" w:eastAsia="Arial" w:hAnsi="Arial"/>
                <w:sz w:val="14"/>
                <w:szCs w:val="14"/>
                <w:b w:val="1"/>
                <w:bCs w:val="1"/>
                <w:color w:val="454968"/>
              </w:rPr>
              <w:t>2013</w:t>
            </w:r>
          </w:p>
        </w:tc>
      </w:tr>
      <w:tr>
        <w:trPr>
          <w:trHeight w:val="175"/>
        </w:trPr>
        <w:tc>
          <w:tcPr>
            <w:tcW w:w="2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454968"/>
              </w:rPr>
              <w:t>2021</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454968"/>
              </w:rPr>
              <w:t>2013</w:t>
            </w: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454968"/>
              </w:rPr>
              <w:t>CAGR</w:t>
            </w: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454968"/>
              </w:rPr>
              <w:t>2021</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454968"/>
              </w:rPr>
              <w:t>2020</w:t>
            </w: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454968"/>
              </w:rPr>
              <w:t>2013</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454968"/>
              </w:rPr>
              <w:t>Expansion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Expansion</w:t>
            </w:r>
          </w:p>
        </w:tc>
      </w:tr>
      <w:tr>
        <w:trPr>
          <w:trHeight w:val="183"/>
        </w:trPr>
        <w:tc>
          <w:tcPr>
            <w:tcW w:w="2400" w:type="dxa"/>
            <w:vAlign w:val="bottom"/>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reported (GAAP)</w:t>
            </w:r>
          </w:p>
        </w:tc>
        <w:tc>
          <w:tcPr>
            <w:tcW w:w="12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E7E7E7"/>
          </w:tcPr>
          <w:p>
            <w:pPr>
              <w:jc w:val="right"/>
              <w:ind w:right="63"/>
              <w:spacing w:after="0" w:line="183" w:lineRule="exact"/>
              <w:rPr>
                <w:sz w:val="20"/>
                <w:szCs w:val="20"/>
                <w:color w:val="auto"/>
              </w:rPr>
            </w:pPr>
            <w:r>
              <w:rPr>
                <w:rFonts w:ascii="Arial" w:cs="Arial" w:eastAsia="Arial" w:hAnsi="Arial"/>
                <w:sz w:val="16"/>
                <w:szCs w:val="16"/>
                <w:color w:val="auto"/>
              </w:rPr>
              <w:t>6.45</w:t>
            </w:r>
          </w:p>
        </w:tc>
        <w:tc>
          <w:tcPr>
            <w:tcW w:w="760" w:type="dxa"/>
            <w:vAlign w:val="bottom"/>
            <w:shd w:val="clear" w:color="auto" w:fill="E7E7E7"/>
          </w:tcPr>
          <w:p>
            <w:pPr>
              <w:jc w:val="right"/>
              <w:ind w:right="61"/>
              <w:spacing w:after="0" w:line="183" w:lineRule="exact"/>
              <w:rPr>
                <w:sz w:val="20"/>
                <w:szCs w:val="20"/>
                <w:color w:val="auto"/>
              </w:rPr>
            </w:pPr>
            <w:r>
              <w:rPr>
                <w:rFonts w:ascii="Arial" w:cs="Arial" w:eastAsia="Arial" w:hAnsi="Arial"/>
                <w:sz w:val="16"/>
                <w:szCs w:val="16"/>
                <w:color w:val="auto"/>
              </w:rPr>
              <w:t>$ 2.56</w:t>
            </w:r>
          </w:p>
        </w:tc>
        <w:tc>
          <w:tcPr>
            <w:tcW w:w="1120" w:type="dxa"/>
            <w:vAlign w:val="bottom"/>
            <w:gridSpan w:val="2"/>
            <w:shd w:val="clear" w:color="auto" w:fill="E7E7E7"/>
          </w:tcPr>
          <w:p>
            <w:pPr>
              <w:jc w:val="right"/>
              <w:ind w:right="100"/>
              <w:spacing w:after="0" w:line="183" w:lineRule="exact"/>
              <w:rPr>
                <w:sz w:val="20"/>
                <w:szCs w:val="20"/>
                <w:color w:val="auto"/>
              </w:rPr>
            </w:pPr>
            <w:r>
              <w:rPr>
                <w:rFonts w:ascii="Arial" w:cs="Arial" w:eastAsia="Arial" w:hAnsi="Arial"/>
                <w:sz w:val="16"/>
                <w:szCs w:val="16"/>
                <w:color w:val="auto"/>
              </w:rPr>
              <w:t>12.2 %</w:t>
            </w:r>
          </w:p>
        </w:tc>
        <w:tc>
          <w:tcPr>
            <w:tcW w:w="820" w:type="dxa"/>
            <w:vAlign w:val="bottom"/>
            <w:shd w:val="clear" w:color="auto" w:fill="E7E7E7"/>
          </w:tcPr>
          <w:p>
            <w:pPr>
              <w:ind w:left="200"/>
              <w:spacing w:after="0" w:line="183" w:lineRule="exact"/>
              <w:rPr>
                <w:sz w:val="20"/>
                <w:szCs w:val="20"/>
                <w:color w:val="auto"/>
              </w:rPr>
            </w:pPr>
            <w:r>
              <w:rPr>
                <w:rFonts w:ascii="Arial" w:cs="Arial" w:eastAsia="Arial" w:hAnsi="Arial"/>
                <w:sz w:val="16"/>
                <w:szCs w:val="16"/>
                <w:color w:val="auto"/>
              </w:rPr>
              <w:t>31.9 %</w:t>
            </w:r>
          </w:p>
        </w:tc>
        <w:tc>
          <w:tcPr>
            <w:tcW w:w="760" w:type="dxa"/>
            <w:vAlign w:val="bottom"/>
            <w:shd w:val="clear" w:color="auto" w:fill="E7E7E7"/>
          </w:tcPr>
          <w:p>
            <w:pPr>
              <w:ind w:left="120"/>
              <w:spacing w:after="0" w:line="183" w:lineRule="exact"/>
              <w:rPr>
                <w:sz w:val="20"/>
                <w:szCs w:val="20"/>
                <w:color w:val="auto"/>
              </w:rPr>
            </w:pPr>
            <w:r>
              <w:rPr>
                <w:rFonts w:ascii="Arial" w:cs="Arial" w:eastAsia="Arial" w:hAnsi="Arial"/>
                <w:sz w:val="16"/>
                <w:szCs w:val="16"/>
                <w:color w:val="auto"/>
              </w:rPr>
              <w:t>24.8 %</w:t>
            </w:r>
          </w:p>
        </w:tc>
        <w:tc>
          <w:tcPr>
            <w:tcW w:w="760" w:type="dxa"/>
            <w:vAlign w:val="bottom"/>
            <w:shd w:val="clear" w:color="auto" w:fill="E7E7E7"/>
          </w:tcPr>
          <w:p>
            <w:pPr>
              <w:jc w:val="right"/>
              <w:ind w:right="41"/>
              <w:spacing w:after="0" w:line="183" w:lineRule="exact"/>
              <w:rPr>
                <w:sz w:val="20"/>
                <w:szCs w:val="20"/>
                <w:color w:val="auto"/>
              </w:rPr>
            </w:pPr>
            <w:r>
              <w:rPr>
                <w:rFonts w:ascii="Arial" w:cs="Arial" w:eastAsia="Arial" w:hAnsi="Arial"/>
                <w:sz w:val="16"/>
                <w:szCs w:val="16"/>
                <w:color w:val="auto"/>
              </w:rPr>
              <w:t>30.1 %</w:t>
            </w:r>
          </w:p>
        </w:tc>
        <w:tc>
          <w:tcPr>
            <w:tcW w:w="1000" w:type="dxa"/>
            <w:vAlign w:val="bottom"/>
            <w:shd w:val="clear" w:color="auto" w:fill="E7E7E7"/>
          </w:tcPr>
          <w:p>
            <w:pPr>
              <w:jc w:val="right"/>
              <w:ind w:right="83"/>
              <w:spacing w:after="0" w:line="183" w:lineRule="exact"/>
              <w:rPr>
                <w:sz w:val="20"/>
                <w:szCs w:val="20"/>
                <w:color w:val="auto"/>
              </w:rPr>
            </w:pPr>
            <w:r>
              <w:rPr>
                <w:rFonts w:ascii="Arial" w:cs="Arial" w:eastAsia="Arial" w:hAnsi="Arial"/>
                <w:sz w:val="16"/>
                <w:szCs w:val="16"/>
                <w:color w:val="auto"/>
              </w:rPr>
              <w:t>710 bps</w:t>
            </w:r>
          </w:p>
        </w:tc>
        <w:tc>
          <w:tcPr>
            <w:tcW w:w="92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180 bps</w:t>
            </w:r>
          </w:p>
        </w:tc>
      </w:tr>
      <w:tr>
        <w:trPr>
          <w:trHeight w:val="189"/>
        </w:trPr>
        <w:tc>
          <w:tcPr>
            <w:tcW w:w="2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Adjusted for specified items: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6.25</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0.58</w:t>
            </w: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18.4 %</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23.2 %</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6.2 %</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(480) bps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 bps</w:t>
            </w:r>
          </w:p>
        </w:tc>
      </w:tr>
      <w:tr>
        <w:trPr>
          <w:trHeight w:val="183"/>
        </w:trPr>
        <w:tc>
          <w:tcPr>
            <w:tcW w:w="2400" w:type="dxa"/>
            <w:vAlign w:val="bottom"/>
            <w:tcBorders>
              <w:bottom w:val="single" w:sz="8" w:color="auto"/>
            </w:tcBorders>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adjusted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w:t>
            </w:r>
          </w:p>
        </w:tc>
        <w:tc>
          <w:tcPr>
            <w:tcW w:w="12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E7E7E7"/>
          </w:tcPr>
          <w:p>
            <w:pPr>
              <w:jc w:val="right"/>
              <w:ind w:right="63"/>
              <w:spacing w:after="0" w:line="183" w:lineRule="exact"/>
              <w:rPr>
                <w:sz w:val="20"/>
                <w:szCs w:val="20"/>
                <w:color w:val="auto"/>
              </w:rPr>
            </w:pPr>
            <w:r>
              <w:rPr>
                <w:rFonts w:ascii="Arial" w:cs="Arial" w:eastAsia="Arial" w:hAnsi="Arial"/>
                <w:sz w:val="16"/>
                <w:szCs w:val="16"/>
                <w:color w:val="auto"/>
              </w:rPr>
              <w:t>12.70</w:t>
            </w:r>
          </w:p>
        </w:tc>
        <w:tc>
          <w:tcPr>
            <w:tcW w:w="760" w:type="dxa"/>
            <w:vAlign w:val="bottom"/>
            <w:tcBorders>
              <w:bottom w:val="single" w:sz="8" w:color="auto"/>
            </w:tcBorders>
            <w:shd w:val="clear" w:color="auto" w:fill="E7E7E7"/>
          </w:tcPr>
          <w:p>
            <w:pPr>
              <w:jc w:val="right"/>
              <w:ind w:right="61"/>
              <w:spacing w:after="0" w:line="183" w:lineRule="exact"/>
              <w:rPr>
                <w:sz w:val="20"/>
                <w:szCs w:val="20"/>
                <w:color w:val="auto"/>
              </w:rPr>
            </w:pPr>
            <w:r>
              <w:rPr>
                <w:rFonts w:ascii="Arial" w:cs="Arial" w:eastAsia="Arial" w:hAnsi="Arial"/>
                <w:sz w:val="16"/>
                <w:szCs w:val="16"/>
                <w:color w:val="auto"/>
              </w:rPr>
              <w:t>$ 3.14</w:t>
            </w:r>
          </w:p>
        </w:tc>
        <w:tc>
          <w:tcPr>
            <w:tcW w:w="1120" w:type="dxa"/>
            <w:vAlign w:val="bottom"/>
            <w:tcBorders>
              <w:bottom w:val="single" w:sz="8" w:color="auto"/>
            </w:tcBorders>
            <w:gridSpan w:val="2"/>
            <w:shd w:val="clear" w:color="auto" w:fill="E7E7E7"/>
          </w:tcPr>
          <w:p>
            <w:pPr>
              <w:jc w:val="right"/>
              <w:ind w:right="100"/>
              <w:spacing w:after="0" w:line="183" w:lineRule="exact"/>
              <w:rPr>
                <w:sz w:val="20"/>
                <w:szCs w:val="20"/>
                <w:color w:val="auto"/>
              </w:rPr>
            </w:pPr>
            <w:r>
              <w:rPr>
                <w:rFonts w:ascii="Arial" w:cs="Arial" w:eastAsia="Arial" w:hAnsi="Arial"/>
                <w:sz w:val="16"/>
                <w:szCs w:val="16"/>
                <w:color w:val="auto"/>
              </w:rPr>
              <w:t>19.1 %</w:t>
            </w:r>
          </w:p>
        </w:tc>
        <w:tc>
          <w:tcPr>
            <w:tcW w:w="820" w:type="dxa"/>
            <w:vAlign w:val="bottom"/>
            <w:tcBorders>
              <w:bottom w:val="single" w:sz="8" w:color="auto"/>
            </w:tcBorders>
            <w:shd w:val="clear" w:color="auto" w:fill="E7E7E7"/>
          </w:tcPr>
          <w:p>
            <w:pPr>
              <w:ind w:left="200"/>
              <w:spacing w:after="0" w:line="183" w:lineRule="exact"/>
              <w:rPr>
                <w:sz w:val="20"/>
                <w:szCs w:val="20"/>
                <w:color w:val="auto"/>
              </w:rPr>
            </w:pPr>
            <w:r>
              <w:rPr>
                <w:rFonts w:ascii="Arial" w:cs="Arial" w:eastAsia="Arial" w:hAnsi="Arial"/>
                <w:sz w:val="16"/>
                <w:szCs w:val="16"/>
                <w:color w:val="auto"/>
              </w:rPr>
              <w:t>50.3 %</w:t>
            </w:r>
          </w:p>
        </w:tc>
        <w:tc>
          <w:tcPr>
            <w:tcW w:w="760" w:type="dxa"/>
            <w:vAlign w:val="bottom"/>
            <w:tcBorders>
              <w:bottom w:val="single" w:sz="8" w:color="auto"/>
            </w:tcBorders>
            <w:shd w:val="clear" w:color="auto" w:fill="E7E7E7"/>
          </w:tcPr>
          <w:p>
            <w:pPr>
              <w:ind w:left="120"/>
              <w:spacing w:after="0" w:line="183" w:lineRule="exact"/>
              <w:rPr>
                <w:sz w:val="20"/>
                <w:szCs w:val="20"/>
                <w:color w:val="auto"/>
              </w:rPr>
            </w:pPr>
            <w:r>
              <w:rPr>
                <w:rFonts w:ascii="Arial" w:cs="Arial" w:eastAsia="Arial" w:hAnsi="Arial"/>
                <w:sz w:val="16"/>
                <w:szCs w:val="16"/>
                <w:color w:val="auto"/>
              </w:rPr>
              <w:t>48.0 %</w:t>
            </w:r>
          </w:p>
        </w:tc>
        <w:tc>
          <w:tcPr>
            <w:tcW w:w="760" w:type="dxa"/>
            <w:vAlign w:val="bottom"/>
            <w:tcBorders>
              <w:bottom w:val="single" w:sz="8" w:color="auto"/>
            </w:tcBorders>
            <w:shd w:val="clear" w:color="auto" w:fill="E7E7E7"/>
          </w:tcPr>
          <w:p>
            <w:pPr>
              <w:jc w:val="right"/>
              <w:ind w:right="41"/>
              <w:spacing w:after="0" w:line="183" w:lineRule="exact"/>
              <w:rPr>
                <w:sz w:val="20"/>
                <w:szCs w:val="20"/>
                <w:color w:val="auto"/>
              </w:rPr>
            </w:pPr>
            <w:r>
              <w:rPr>
                <w:rFonts w:ascii="Arial" w:cs="Arial" w:eastAsia="Arial" w:hAnsi="Arial"/>
                <w:sz w:val="16"/>
                <w:szCs w:val="16"/>
                <w:color w:val="auto"/>
              </w:rPr>
              <w:t>36.3 %</w:t>
            </w:r>
          </w:p>
        </w:tc>
        <w:tc>
          <w:tcPr>
            <w:tcW w:w="1000" w:type="dxa"/>
            <w:vAlign w:val="bottom"/>
            <w:tcBorders>
              <w:bottom w:val="single" w:sz="8" w:color="auto"/>
            </w:tcBorders>
            <w:shd w:val="clear" w:color="auto" w:fill="E7E7E7"/>
          </w:tcPr>
          <w:p>
            <w:pPr>
              <w:jc w:val="right"/>
              <w:ind w:right="83"/>
              <w:spacing w:after="0" w:line="183" w:lineRule="exact"/>
              <w:rPr>
                <w:sz w:val="20"/>
                <w:szCs w:val="20"/>
                <w:color w:val="auto"/>
              </w:rPr>
            </w:pPr>
            <w:r>
              <w:rPr>
                <w:rFonts w:ascii="Arial" w:cs="Arial" w:eastAsia="Arial" w:hAnsi="Arial"/>
                <w:sz w:val="16"/>
                <w:szCs w:val="16"/>
                <w:color w:val="auto"/>
              </w:rPr>
              <w:t>230 bps</w:t>
            </w:r>
          </w:p>
        </w:tc>
        <w:tc>
          <w:tcPr>
            <w:tcW w:w="92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1,400 bps</w:t>
            </w:r>
          </w:p>
        </w:tc>
      </w:tr>
    </w:tbl>
    <w:p>
      <w:pPr>
        <w:spacing w:after="0" w:line="202" w:lineRule="exact"/>
        <w:rPr>
          <w:sz w:val="20"/>
          <w:szCs w:val="20"/>
          <w:color w:val="auto"/>
        </w:rPr>
      </w:pPr>
    </w:p>
    <w:p>
      <w:pPr>
        <w:ind w:left="1"/>
        <w:spacing w:after="0"/>
        <w:tabs>
          <w:tab w:leader="none" w:pos="301" w:val="left"/>
        </w:tabs>
        <w:rPr>
          <w:sz w:val="20"/>
          <w:szCs w:val="20"/>
          <w:color w:val="auto"/>
        </w:rPr>
      </w:pPr>
      <w:r>
        <w:rPr>
          <w:rFonts w:ascii="Arial" w:cs="Arial" w:eastAsia="Arial" w:hAnsi="Arial"/>
          <w:sz w:val="18"/>
          <w:szCs w:val="18"/>
          <w:color w:val="auto"/>
        </w:rPr>
        <w:t>3.</w:t>
        <w:tab/>
        <w:t>Net Revenues Increase over 2020</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30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454968"/>
              </w:rPr>
              <w:t>Net Revenues</w:t>
            </w:r>
          </w:p>
        </w:tc>
      </w:tr>
      <w:tr>
        <w:trPr>
          <w:trHeight w:val="183"/>
        </w:trPr>
        <w:tc>
          <w:tcPr>
            <w:tcW w:w="3060" w:type="dxa"/>
            <w:vAlign w:val="bottom"/>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reported (GAAP)</w:t>
            </w:r>
          </w:p>
        </w:tc>
        <w:tc>
          <w:tcPr>
            <w:tcW w:w="1560" w:type="dxa"/>
            <w:vAlign w:val="bottom"/>
            <w:shd w:val="clear" w:color="auto" w:fill="E7E7E7"/>
          </w:tcPr>
          <w:p>
            <w:pPr>
              <w:jc w:val="right"/>
              <w:ind w:right="41"/>
              <w:spacing w:after="0" w:line="183" w:lineRule="exact"/>
              <w:rPr>
                <w:sz w:val="20"/>
                <w:szCs w:val="20"/>
                <w:color w:val="auto"/>
              </w:rPr>
            </w:pPr>
            <w:r>
              <w:rPr>
                <w:rFonts w:ascii="Arial" w:cs="Arial" w:eastAsia="Arial" w:hAnsi="Arial"/>
                <w:sz w:val="16"/>
                <w:szCs w:val="16"/>
                <w:color w:val="auto"/>
              </w:rPr>
              <w:t>22.7 %</w:t>
            </w: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Adjusted for specified and other items:</w:t>
            </w: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(0.1)%</w:t>
            </w:r>
          </w:p>
        </w:tc>
      </w:tr>
      <w:tr>
        <w:trPr>
          <w:trHeight w:val="189"/>
        </w:trPr>
        <w:tc>
          <w:tcPr>
            <w:tcW w:w="3060" w:type="dxa"/>
            <w:vAlign w:val="bottom"/>
            <w:tcBorders>
              <w:bottom w:val="single" w:sz="8" w:color="auto"/>
            </w:tcBorders>
            <w:shd w:val="clear" w:color="auto" w:fill="E7E7E7"/>
          </w:tcPr>
          <w:p>
            <w:pPr>
              <w:spacing w:after="0"/>
              <w:rPr>
                <w:sz w:val="20"/>
                <w:szCs w:val="20"/>
                <w:color w:val="auto"/>
              </w:rPr>
            </w:pPr>
            <w:r>
              <w:rPr>
                <w:rFonts w:ascii="Arial" w:cs="Arial" w:eastAsia="Arial" w:hAnsi="Arial"/>
                <w:sz w:val="16"/>
                <w:szCs w:val="16"/>
                <w:color w:val="auto"/>
              </w:rPr>
              <w:t>Adjusted for foreign exchange:</w:t>
            </w:r>
          </w:p>
        </w:tc>
        <w:tc>
          <w:tcPr>
            <w:tcW w:w="1560" w:type="dxa"/>
            <w:vAlign w:val="bottom"/>
            <w:tcBorders>
              <w:bottom w:val="single" w:sz="8" w:color="auto"/>
            </w:tcBorders>
            <w:shd w:val="clear" w:color="auto" w:fill="E7E7E7"/>
          </w:tcPr>
          <w:p>
            <w:pPr>
              <w:jc w:val="right"/>
              <w:ind w:right="41"/>
              <w:spacing w:after="0"/>
              <w:rPr>
                <w:sz w:val="20"/>
                <w:szCs w:val="20"/>
                <w:color w:val="auto"/>
              </w:rPr>
            </w:pPr>
            <w:r>
              <w:rPr>
                <w:rFonts w:ascii="Arial" w:cs="Arial" w:eastAsia="Arial" w:hAnsi="Arial"/>
                <w:sz w:val="16"/>
                <w:szCs w:val="16"/>
                <w:color w:val="auto"/>
              </w:rPr>
              <w:t>(0.8)%</w:t>
            </w:r>
          </w:p>
        </w:tc>
      </w:tr>
      <w:tr>
        <w:trPr>
          <w:trHeight w:val="183"/>
        </w:trPr>
        <w:tc>
          <w:tcPr>
            <w:tcW w:w="30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As adjusted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w:t>
            </w:r>
          </w:p>
        </w:tc>
        <w:tc>
          <w:tcPr>
            <w:tcW w:w="156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21.8 %</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 w:type="dxa"/>
        <w:tblCellMar>
          <w:top w:w="0" w:type="dxa"/>
          <w:left w:w="0" w:type="dxa"/>
          <w:bottom w:w="0" w:type="dxa"/>
          <w:right w:w="0" w:type="dxa"/>
        </w:tblCellMar>
      </w:tblPr>
      <w:tr>
        <w:trPr>
          <w:trHeight w:val="324"/>
        </w:trPr>
        <w:tc>
          <w:tcPr>
            <w:tcW w:w="8060" w:type="dxa"/>
            <w:vAlign w:val="bottom"/>
          </w:tcPr>
          <w:p>
            <w:pPr>
              <w:ind w:left="504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w w:val="99"/>
              </w:rPr>
              <w:t>B-1</w:t>
            </w:r>
          </w:p>
        </w:tc>
      </w:tr>
      <w:tr>
        <w:trPr>
          <w:trHeight w:val="548"/>
        </w:trPr>
        <w:tc>
          <w:tcPr>
            <w:tcW w:w="8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-548005</wp:posOffset>
            </wp:positionV>
            <wp:extent cx="874395" cy="162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74395" cy="16256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90" w:name="page91"/>
    <w:bookmarkEnd w:id="90"/>
    <w:p>
      <w:pPr>
        <w:ind w:left="1"/>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
        <w:spacing w:after="0"/>
        <w:tabs>
          <w:tab w:leader="none" w:pos="301" w:val="left"/>
        </w:tabs>
        <w:rPr>
          <w:sz w:val="20"/>
          <w:szCs w:val="20"/>
          <w:color w:val="auto"/>
        </w:rPr>
      </w:pPr>
      <w:r>
        <w:rPr>
          <w:rFonts w:ascii="Arial" w:cs="Arial" w:eastAsia="Arial" w:hAnsi="Arial"/>
          <w:sz w:val="18"/>
          <w:szCs w:val="18"/>
          <w:color w:val="auto"/>
        </w:rPr>
        <w:t>4.</w:t>
        <w:tab/>
        <w:t>2021 Gross Margin and Research &amp; Development Expense</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Arial" w:cs="Arial" w:eastAsia="Arial" w:hAnsi="Arial"/>
                <w:sz w:val="14"/>
                <w:szCs w:val="14"/>
                <w:b w:val="1"/>
                <w:bCs w:val="1"/>
                <w:color w:val="454968"/>
              </w:rPr>
              <w:t>Research &amp;</w:t>
            </w:r>
          </w:p>
        </w:tc>
      </w:tr>
      <w:tr>
        <w:trPr>
          <w:trHeight w:val="175"/>
        </w:trPr>
        <w:tc>
          <w:tcPr>
            <w:tcW w:w="2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454968"/>
              </w:rPr>
              <w:t>Gross Margin</w:t>
            </w: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Development</w:t>
            </w:r>
          </w:p>
        </w:tc>
      </w:tr>
      <w:tr>
        <w:trPr>
          <w:trHeight w:val="183"/>
        </w:trPr>
        <w:tc>
          <w:tcPr>
            <w:tcW w:w="2340" w:type="dxa"/>
            <w:vAlign w:val="bottom"/>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reported (GAAP)</w:t>
            </w:r>
          </w:p>
        </w:tc>
        <w:tc>
          <w:tcPr>
            <w:tcW w:w="1700" w:type="dxa"/>
            <w:vAlign w:val="bottom"/>
            <w:shd w:val="clear" w:color="auto" w:fill="E7E7E7"/>
          </w:tcPr>
          <w:p>
            <w:pPr>
              <w:jc w:val="right"/>
              <w:ind w:right="181"/>
              <w:spacing w:after="0" w:line="183" w:lineRule="exact"/>
              <w:rPr>
                <w:sz w:val="20"/>
                <w:szCs w:val="20"/>
                <w:color w:val="auto"/>
              </w:rPr>
            </w:pPr>
            <w:r>
              <w:rPr>
                <w:rFonts w:ascii="Arial" w:cs="Arial" w:eastAsia="Arial" w:hAnsi="Arial"/>
                <w:sz w:val="16"/>
                <w:szCs w:val="16"/>
                <w:color w:val="auto"/>
              </w:rPr>
              <w:t>69.0 %</w:t>
            </w:r>
          </w:p>
        </w:tc>
        <w:tc>
          <w:tcPr>
            <w:tcW w:w="42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7.1</w:t>
            </w:r>
          </w:p>
        </w:tc>
      </w:tr>
      <w:tr>
        <w:trPr>
          <w:trHeight w:val="18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Adjusted for specified items:</w:t>
            </w:r>
          </w:p>
        </w:tc>
        <w:tc>
          <w:tcPr>
            <w:tcW w:w="17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14.2 %</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183"/>
        </w:trPr>
        <w:tc>
          <w:tcPr>
            <w:tcW w:w="2340" w:type="dxa"/>
            <w:vAlign w:val="bottom"/>
            <w:tcBorders>
              <w:bottom w:val="single" w:sz="8" w:color="auto"/>
            </w:tcBorders>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adjusted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w:t>
            </w:r>
          </w:p>
        </w:tc>
        <w:tc>
          <w:tcPr>
            <w:tcW w:w="1700" w:type="dxa"/>
            <w:vAlign w:val="bottom"/>
            <w:tcBorders>
              <w:bottom w:val="single" w:sz="8" w:color="auto"/>
            </w:tcBorders>
            <w:shd w:val="clear" w:color="auto" w:fill="E7E7E7"/>
          </w:tcPr>
          <w:p>
            <w:pPr>
              <w:jc w:val="right"/>
              <w:ind w:right="181"/>
              <w:spacing w:after="0" w:line="183" w:lineRule="exact"/>
              <w:rPr>
                <w:sz w:val="20"/>
                <w:szCs w:val="20"/>
                <w:color w:val="auto"/>
              </w:rPr>
            </w:pPr>
            <w:r>
              <w:rPr>
                <w:rFonts w:ascii="Arial" w:cs="Arial" w:eastAsia="Arial" w:hAnsi="Arial"/>
                <w:sz w:val="16"/>
                <w:szCs w:val="16"/>
                <w:color w:val="auto"/>
              </w:rPr>
              <w:t>83.2 %</w:t>
            </w:r>
          </w:p>
        </w:tc>
        <w:tc>
          <w:tcPr>
            <w:tcW w:w="42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6.5</w:t>
            </w:r>
          </w:p>
        </w:tc>
      </w:tr>
    </w:tbl>
    <w:p>
      <w:pPr>
        <w:spacing w:after="0" w:line="377" w:lineRule="exact"/>
        <w:rPr>
          <w:sz w:val="20"/>
          <w:szCs w:val="20"/>
          <w:color w:val="auto"/>
        </w:rPr>
      </w:pPr>
    </w:p>
    <w:p>
      <w:pPr>
        <w:ind w:left="1"/>
        <w:spacing w:after="0"/>
        <w:tabs>
          <w:tab w:leader="none" w:pos="301"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Diluted Earnings</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8"/>
          <w:szCs w:val="18"/>
          <w:color w:val="auto"/>
        </w:rPr>
        <w:t>Per Share since 2013 Inception</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3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2021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2020</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2019</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2018</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2017</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454968"/>
              </w:rPr>
              <w:t>2016</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2015</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2014</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2013</w:t>
            </w:r>
          </w:p>
        </w:tc>
      </w:tr>
      <w:tr>
        <w:trPr>
          <w:trHeight w:val="183"/>
        </w:trPr>
        <w:tc>
          <w:tcPr>
            <w:tcW w:w="3100" w:type="dxa"/>
            <w:vAlign w:val="bottom"/>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reported (GAAP)</w:t>
            </w:r>
          </w:p>
        </w:tc>
        <w:tc>
          <w:tcPr>
            <w:tcW w:w="32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6.45</w:t>
            </w:r>
          </w:p>
        </w:tc>
        <w:tc>
          <w:tcPr>
            <w:tcW w:w="120" w:type="dxa"/>
            <w:vAlign w:val="bottom"/>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2.72</w:t>
            </w:r>
          </w:p>
        </w:tc>
        <w:tc>
          <w:tcPr>
            <w:tcW w:w="16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5.28</w:t>
            </w:r>
          </w:p>
        </w:tc>
        <w:tc>
          <w:tcPr>
            <w:tcW w:w="16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3.66</w:t>
            </w:r>
          </w:p>
        </w:tc>
        <w:tc>
          <w:tcPr>
            <w:tcW w:w="180" w:type="dxa"/>
            <w:vAlign w:val="bottom"/>
            <w:shd w:val="clear" w:color="auto" w:fill="E7E7E7"/>
          </w:tcPr>
          <w:p>
            <w:pPr>
              <w:jc w:val="right"/>
              <w:ind w:right="2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3.30</w:t>
            </w:r>
          </w:p>
        </w:tc>
        <w:tc>
          <w:tcPr>
            <w:tcW w:w="20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520" w:type="dxa"/>
            <w:vAlign w:val="bottom"/>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3.63</w:t>
            </w:r>
          </w:p>
        </w:tc>
        <w:tc>
          <w:tcPr>
            <w:tcW w:w="300" w:type="dxa"/>
            <w:vAlign w:val="bottom"/>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3.13</w:t>
            </w:r>
          </w:p>
        </w:tc>
        <w:tc>
          <w:tcPr>
            <w:tcW w:w="200" w:type="dxa"/>
            <w:vAlign w:val="bottom"/>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1.10</w:t>
            </w:r>
          </w:p>
        </w:tc>
        <w:tc>
          <w:tcPr>
            <w:tcW w:w="220" w:type="dxa"/>
            <w:vAlign w:val="bottom"/>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E7E7E7"/>
          </w:tcPr>
          <w:p>
            <w:pPr>
              <w:jc w:val="right"/>
              <w:spacing w:after="0" w:line="183" w:lineRule="exact"/>
              <w:rPr>
                <w:sz w:val="20"/>
                <w:szCs w:val="20"/>
                <w:color w:val="auto"/>
              </w:rPr>
            </w:pPr>
            <w:r>
              <w:rPr>
                <w:rFonts w:ascii="Arial" w:cs="Arial" w:eastAsia="Arial" w:hAnsi="Arial"/>
                <w:sz w:val="16"/>
                <w:szCs w:val="16"/>
                <w:color w:val="auto"/>
              </w:rPr>
              <w:t>2.56</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Adjusted for specified items: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Intangible asset amortization</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2.87</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0.86</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0.69</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0.51</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0.38</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0.20</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0.18</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0.23</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Separation costs</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Milestones and other R&amp;D expenses</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0.14</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0.09</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0.05</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0.26</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0.02</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Acquired IPR&amp;D</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0.71</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0.27</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0.15</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Reata divestiture</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Calico collaboration</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0.46</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shd w:val="clear" w:color="auto" w:fill="E7E7E7"/>
          </w:tcPr>
          <w:p>
            <w:pPr>
              <w:ind w:left="100"/>
              <w:spacing w:after="0" w:line="184" w:lineRule="exact"/>
              <w:rPr>
                <w:sz w:val="20"/>
                <w:szCs w:val="20"/>
                <w:color w:val="auto"/>
              </w:rPr>
            </w:pPr>
            <w:r>
              <w:rPr>
                <w:rFonts w:ascii="Arial" w:cs="Arial" w:eastAsia="Arial" w:hAnsi="Arial"/>
                <w:sz w:val="16"/>
                <w:szCs w:val="16"/>
                <w:color w:val="auto"/>
              </w:rPr>
              <w:t>Stemcentrx</w:t>
            </w:r>
            <w:r>
              <w:rPr>
                <w:rFonts w:ascii="MS PGothic" w:cs="MS PGothic" w:eastAsia="MS PGothic" w:hAnsi="MS PGothic"/>
                <w:sz w:val="16"/>
                <w:szCs w:val="16"/>
                <w:color w:val="auto"/>
              </w:rPr>
              <w:t>‑</w:t>
            </w:r>
            <w:r>
              <w:rPr>
                <w:rFonts w:ascii="Arial" w:cs="Arial" w:eastAsia="Arial" w:hAnsi="Arial"/>
                <w:sz w:val="16"/>
                <w:szCs w:val="16"/>
                <w:color w:val="auto"/>
              </w:rPr>
              <w:t>related impairment</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0.56</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2.66</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Charitable contribution</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Acquisition related costs</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1.81</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0.23</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0.03</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0.16</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0.25</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Shire transaction and termination costs</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0.10</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Change in fair value of contingent</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spacing w:after="0"/>
              <w:rPr>
                <w:sz w:val="16"/>
                <w:szCs w:val="16"/>
                <w:color w:val="auto"/>
              </w:rPr>
            </w:pP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spacing w:after="0"/>
              <w:rPr>
                <w:sz w:val="16"/>
                <w:szCs w:val="16"/>
                <w:color w:val="auto"/>
              </w:rPr>
            </w:pP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spacing w:after="0"/>
              <w:rPr>
                <w:sz w:val="16"/>
                <w:szCs w:val="16"/>
                <w:color w:val="auto"/>
              </w:rPr>
            </w:pPr>
          </w:p>
        </w:tc>
      </w:tr>
      <w:tr>
        <w:trPr>
          <w:trHeight w:val="187"/>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consideration</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0.31</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0.39</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0.14</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line="189" w:lineRule="exact"/>
              <w:rPr>
                <w:sz w:val="20"/>
                <w:szCs w:val="20"/>
                <w:color w:val="auto"/>
              </w:rPr>
            </w:pPr>
            <w:r>
              <w:rPr>
                <w:rFonts w:ascii="Arial" w:cs="Arial" w:eastAsia="Arial" w:hAnsi="Arial"/>
                <w:sz w:val="14"/>
                <w:szCs w:val="14"/>
                <w:color w:val="auto"/>
              </w:rPr>
              <w:t>Restructuring</w:t>
            </w:r>
            <w:r>
              <w:rPr>
                <w:rFonts w:ascii="Arial" w:cs="Arial" w:eastAsia="Arial" w:hAnsi="Arial"/>
                <w:sz w:val="21"/>
                <w:szCs w:val="21"/>
                <w:color w:val="auto"/>
                <w:vertAlign w:val="superscript"/>
              </w:rPr>
              <w:t>(1)</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Litigation matters</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(0.28)</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0.18</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0.08</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Pr>
          <w:p>
            <w:pPr>
              <w:ind w:left="100"/>
              <w:spacing w:after="0"/>
              <w:rPr>
                <w:sz w:val="20"/>
                <w:szCs w:val="20"/>
                <w:color w:val="auto"/>
              </w:rPr>
            </w:pPr>
            <w:r>
              <w:rPr>
                <w:rFonts w:ascii="Arial" w:cs="Arial" w:eastAsia="Arial" w:hAnsi="Arial"/>
                <w:sz w:val="16"/>
                <w:szCs w:val="16"/>
                <w:color w:val="auto"/>
              </w:rPr>
              <w:t>Intangible asset impairment</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Venezuela devaluation loss</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0.18</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3100" w:type="dxa"/>
            <w:vAlign w:val="bottom"/>
          </w:tcPr>
          <w:p>
            <w:pPr>
              <w:ind w:left="100"/>
              <w:spacing w:after="0"/>
              <w:rPr>
                <w:sz w:val="20"/>
                <w:szCs w:val="20"/>
                <w:color w:val="auto"/>
              </w:rPr>
            </w:pPr>
            <w:r>
              <w:rPr>
                <w:rFonts w:ascii="Arial" w:cs="Arial" w:eastAsia="Arial" w:hAnsi="Arial"/>
                <w:sz w:val="16"/>
                <w:szCs w:val="16"/>
                <w:color w:val="auto"/>
              </w:rPr>
              <w:t>Revaluation due to Section 987 tax law</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7"/>
        </w:trPr>
        <w:tc>
          <w:tcPr>
            <w:tcW w:w="3100" w:type="dxa"/>
            <w:vAlign w:val="bottom"/>
          </w:tcPr>
          <w:p>
            <w:pPr>
              <w:ind w:left="100"/>
              <w:spacing w:after="0"/>
              <w:rPr>
                <w:sz w:val="20"/>
                <w:szCs w:val="20"/>
                <w:color w:val="auto"/>
              </w:rPr>
            </w:pPr>
            <w:r>
              <w:rPr>
                <w:rFonts w:ascii="Arial" w:cs="Arial" w:eastAsia="Arial" w:hAnsi="Arial"/>
                <w:sz w:val="16"/>
                <w:szCs w:val="16"/>
                <w:color w:val="auto"/>
              </w:rPr>
              <w:t>change</w:t>
            </w:r>
          </w:p>
        </w:tc>
        <w:tc>
          <w:tcPr>
            <w:tcW w:w="3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Impacts related to tax law changes and</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spacing w:after="0"/>
              <w:rPr>
                <w:sz w:val="16"/>
                <w:szCs w:val="16"/>
                <w:color w:val="auto"/>
              </w:rPr>
            </w:pP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spacing w:after="0"/>
              <w:rPr>
                <w:sz w:val="16"/>
                <w:szCs w:val="16"/>
                <w:color w:val="auto"/>
              </w:rPr>
            </w:pP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spacing w:after="0"/>
              <w:rPr>
                <w:sz w:val="16"/>
                <w:szCs w:val="16"/>
                <w:color w:val="auto"/>
              </w:rPr>
            </w:pP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spacing w:after="0"/>
              <w:rPr>
                <w:sz w:val="16"/>
                <w:szCs w:val="16"/>
                <w:color w:val="auto"/>
              </w:rPr>
            </w:pP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spacing w:after="0"/>
              <w:rPr>
                <w:sz w:val="16"/>
                <w:szCs w:val="16"/>
                <w:color w:val="auto"/>
              </w:rPr>
            </w:pPr>
          </w:p>
        </w:tc>
      </w:tr>
      <w:tr>
        <w:trPr>
          <w:trHeight w:val="187"/>
        </w:trPr>
        <w:tc>
          <w:tcPr>
            <w:tcW w:w="3100" w:type="dxa"/>
            <w:vAlign w:val="bottom"/>
            <w:shd w:val="clear" w:color="auto" w:fill="E7E7E7"/>
          </w:tcPr>
          <w:p>
            <w:pPr>
              <w:ind w:left="100"/>
              <w:spacing w:after="0"/>
              <w:rPr>
                <w:sz w:val="20"/>
                <w:szCs w:val="20"/>
                <w:color w:val="auto"/>
              </w:rPr>
            </w:pPr>
            <w:r>
              <w:rPr>
                <w:rFonts w:ascii="Arial" w:cs="Arial" w:eastAsia="Arial" w:hAnsi="Arial"/>
                <w:sz w:val="16"/>
                <w:szCs w:val="16"/>
                <w:color w:val="auto"/>
              </w:rPr>
              <w:t>audit settlements</w:t>
            </w:r>
          </w:p>
        </w:tc>
        <w:tc>
          <w:tcPr>
            <w:tcW w:w="3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E7E7E7"/>
          </w:tcPr>
          <w:p>
            <w:pPr>
              <w:spacing w:after="0"/>
              <w:rPr>
                <w:sz w:val="16"/>
                <w:szCs w:val="16"/>
                <w:color w:val="auto"/>
              </w:rPr>
            </w:pPr>
          </w:p>
        </w:tc>
        <w:tc>
          <w:tcPr>
            <w:tcW w:w="50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(0.49)</w:t>
            </w:r>
          </w:p>
        </w:tc>
        <w:tc>
          <w:tcPr>
            <w:tcW w:w="18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0.71</w:t>
            </w:r>
          </w:p>
        </w:tc>
        <w:tc>
          <w:tcPr>
            <w:tcW w:w="200" w:type="dxa"/>
            <w:vAlign w:val="bottom"/>
            <w:shd w:val="clear" w:color="auto" w:fill="E7E7E7"/>
          </w:tcPr>
          <w:p>
            <w:pPr>
              <w:spacing w:after="0"/>
              <w:rPr>
                <w:sz w:val="16"/>
                <w:szCs w:val="16"/>
                <w:color w:val="auto"/>
              </w:rPr>
            </w:pPr>
          </w:p>
        </w:tc>
        <w:tc>
          <w:tcPr>
            <w:tcW w:w="520" w:type="dxa"/>
            <w:vAlign w:val="bottom"/>
            <w:shd w:val="clear" w:color="auto" w:fill="E7E7E7"/>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7"/>
          </w:tcPr>
          <w:p>
            <w:pPr>
              <w:spacing w:after="0"/>
              <w:rPr>
                <w:sz w:val="16"/>
                <w:szCs w:val="16"/>
                <w:color w:val="auto"/>
              </w:rPr>
            </w:pPr>
          </w:p>
        </w:tc>
        <w:tc>
          <w:tcPr>
            <w:tcW w:w="4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7E7E7"/>
          </w:tcPr>
          <w:p>
            <w:pPr>
              <w:spacing w:after="0"/>
              <w:rPr>
                <w:sz w:val="16"/>
                <w:szCs w:val="16"/>
                <w:color w:val="auto"/>
              </w:rPr>
            </w:pPr>
          </w:p>
        </w:tc>
        <w:tc>
          <w:tcPr>
            <w:tcW w:w="480" w:type="dxa"/>
            <w:vAlign w:val="bottom"/>
            <w:shd w:val="clear" w:color="auto" w:fill="E7E7E7"/>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0.04</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183"/>
        </w:trPr>
        <w:tc>
          <w:tcPr>
            <w:tcW w:w="3100" w:type="dxa"/>
            <w:vAlign w:val="bottom"/>
            <w:tcBorders>
              <w:bottom w:val="single" w:sz="8" w:color="auto"/>
            </w:tcBorders>
            <w:shd w:val="clear" w:color="auto" w:fill="E7E7E7"/>
          </w:tcPr>
          <w:p>
            <w:pPr>
              <w:spacing w:after="0" w:line="183" w:lineRule="exact"/>
              <w:rPr>
                <w:sz w:val="20"/>
                <w:szCs w:val="20"/>
                <w:color w:val="auto"/>
              </w:rPr>
            </w:pPr>
            <w:r>
              <w:rPr>
                <w:rFonts w:ascii="Arial" w:cs="Arial" w:eastAsia="Arial" w:hAnsi="Arial"/>
                <w:sz w:val="16"/>
                <w:szCs w:val="16"/>
                <w:b w:val="1"/>
                <w:bCs w:val="1"/>
                <w:color w:val="auto"/>
              </w:rPr>
              <w:t>As adjusted (non</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GAAP)</w:t>
            </w:r>
          </w:p>
        </w:tc>
        <w:tc>
          <w:tcPr>
            <w:tcW w:w="32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12.70</w:t>
            </w:r>
          </w:p>
        </w:tc>
        <w:tc>
          <w:tcPr>
            <w:tcW w:w="1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10.56</w:t>
            </w:r>
          </w:p>
        </w:tc>
        <w:tc>
          <w:tcPr>
            <w:tcW w:w="16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8.94</w:t>
            </w:r>
          </w:p>
        </w:tc>
        <w:tc>
          <w:tcPr>
            <w:tcW w:w="16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7.91</w:t>
            </w:r>
          </w:p>
        </w:tc>
        <w:tc>
          <w:tcPr>
            <w:tcW w:w="180" w:type="dxa"/>
            <w:vAlign w:val="bottom"/>
            <w:tcBorders>
              <w:bottom w:val="single" w:sz="8" w:color="auto"/>
            </w:tcBorders>
            <w:shd w:val="clear" w:color="auto" w:fill="E7E7E7"/>
          </w:tcPr>
          <w:p>
            <w:pPr>
              <w:jc w:val="right"/>
              <w:ind w:right="24"/>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5.60</w:t>
            </w:r>
          </w:p>
        </w:tc>
        <w:tc>
          <w:tcPr>
            <w:tcW w:w="20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4.82</w:t>
            </w:r>
          </w:p>
        </w:tc>
        <w:tc>
          <w:tcPr>
            <w:tcW w:w="300" w:type="dxa"/>
            <w:vAlign w:val="bottom"/>
            <w:tcBorders>
              <w:bottom w:val="single" w:sz="8" w:color="auto"/>
            </w:tcBorders>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4.29</w:t>
            </w:r>
          </w:p>
        </w:tc>
        <w:tc>
          <w:tcPr>
            <w:tcW w:w="200" w:type="dxa"/>
            <w:vAlign w:val="bottom"/>
            <w:tcBorders>
              <w:bottom w:val="single" w:sz="8" w:color="auto"/>
            </w:tcBorders>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3.32</w:t>
            </w:r>
          </w:p>
        </w:tc>
        <w:tc>
          <w:tcPr>
            <w:tcW w:w="220" w:type="dxa"/>
            <w:vAlign w:val="bottom"/>
            <w:tcBorders>
              <w:bottom w:val="single" w:sz="8" w:color="auto"/>
            </w:tcBorders>
            <w:shd w:val="clear" w:color="auto" w:fill="E7E7E7"/>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E7E7E7"/>
          </w:tcPr>
          <w:p>
            <w:pPr>
              <w:jc w:val="right"/>
              <w:spacing w:after="0" w:line="183" w:lineRule="exact"/>
              <w:rPr>
                <w:sz w:val="20"/>
                <w:szCs w:val="20"/>
                <w:color w:val="auto"/>
              </w:rPr>
            </w:pPr>
            <w:r>
              <w:rPr>
                <w:rFonts w:ascii="Arial" w:cs="Arial" w:eastAsia="Arial" w:hAnsi="Arial"/>
                <w:sz w:val="16"/>
                <w:szCs w:val="16"/>
                <w:color w:val="auto"/>
              </w:rPr>
              <w:t>3.14</w:t>
            </w:r>
          </w:p>
        </w:tc>
      </w:tr>
    </w:tbl>
    <w:p>
      <w:pPr>
        <w:spacing w:after="0" w:line="202" w:lineRule="exact"/>
        <w:rPr>
          <w:sz w:val="20"/>
          <w:szCs w:val="20"/>
          <w:color w:val="auto"/>
        </w:rPr>
      </w:pPr>
    </w:p>
    <w:p>
      <w:pPr>
        <w:ind w:left="641" w:hanging="641"/>
        <w:spacing w:after="0"/>
        <w:tabs>
          <w:tab w:leader="none" w:pos="6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for 2019, restructuring impacts were minimal and included in the Other category.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2021 Performance Results for Financial Goals Reconciliations</w:t>
      </w:r>
    </w:p>
    <w:p>
      <w:pPr>
        <w:spacing w:after="0" w:line="194"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160" w:type="dxa"/>
            <w:vAlign w:val="bottom"/>
          </w:tcPr>
          <w:p>
            <w:pPr>
              <w:jc w:val="right"/>
              <w:ind w:right="140"/>
              <w:spacing w:after="0"/>
              <w:rPr>
                <w:sz w:val="20"/>
                <w:szCs w:val="20"/>
                <w:color w:val="auto"/>
              </w:rPr>
            </w:pPr>
            <w:r>
              <w:rPr>
                <w:rFonts w:ascii="Arial" w:cs="Arial" w:eastAsia="Arial" w:hAnsi="Arial"/>
                <w:sz w:val="14"/>
                <w:szCs w:val="14"/>
                <w:b w:val="1"/>
                <w:bCs w:val="1"/>
                <w:color w:val="454968"/>
              </w:rPr>
              <w:t>Net</w:t>
            </w:r>
          </w:p>
        </w:tc>
        <w:tc>
          <w:tcPr>
            <w:tcW w:w="1460" w:type="dxa"/>
            <w:vAlign w:val="bottom"/>
          </w:tcPr>
          <w:p>
            <w:pPr>
              <w:jc w:val="right"/>
              <w:ind w:right="180"/>
              <w:spacing w:after="0"/>
              <w:rPr>
                <w:sz w:val="20"/>
                <w:szCs w:val="20"/>
                <w:color w:val="auto"/>
              </w:rPr>
            </w:pPr>
            <w:r>
              <w:rPr>
                <w:rFonts w:ascii="Arial" w:cs="Arial" w:eastAsia="Arial" w:hAnsi="Arial"/>
                <w:sz w:val="14"/>
                <w:szCs w:val="14"/>
                <w:b w:val="1"/>
                <w:bCs w:val="1"/>
                <w:color w:val="454968"/>
              </w:rPr>
              <w:t>Income Before</w:t>
            </w:r>
          </w:p>
        </w:tc>
        <w:tc>
          <w:tcPr>
            <w:tcW w:w="1140" w:type="dxa"/>
            <w:vAlign w:val="bottom"/>
          </w:tcPr>
          <w:p>
            <w:pPr>
              <w:jc w:val="right"/>
              <w:ind w:right="160"/>
              <w:spacing w:after="0"/>
              <w:rPr>
                <w:sz w:val="20"/>
                <w:szCs w:val="20"/>
                <w:color w:val="auto"/>
              </w:rPr>
            </w:pPr>
            <w:r>
              <w:rPr>
                <w:rFonts w:ascii="Arial" w:cs="Arial" w:eastAsia="Arial" w:hAnsi="Arial"/>
                <w:sz w:val="14"/>
                <w:szCs w:val="14"/>
                <w:b w:val="1"/>
                <w:bCs w:val="1"/>
                <w:color w:val="454968"/>
              </w:rPr>
              <w:t>Operating</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454968"/>
              </w:rPr>
              <w:t>Net</w:t>
            </w:r>
          </w:p>
        </w:tc>
      </w:tr>
      <w:tr>
        <w:trPr>
          <w:trHeight w:val="175"/>
        </w:trPr>
        <w:tc>
          <w:tcPr>
            <w:tcW w:w="4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454968"/>
              </w:rPr>
              <w:t>Revenues</w:t>
            </w:r>
          </w:p>
        </w:tc>
        <w:tc>
          <w:tcPr>
            <w:tcW w:w="14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454968"/>
              </w:rPr>
              <w:t>Taxes</w:t>
            </w: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454968"/>
              </w:rPr>
              <w:t>Margin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54968"/>
              </w:rPr>
              <w:t>Earnings*</w:t>
            </w:r>
          </w:p>
        </w:tc>
      </w:tr>
      <w:tr>
        <w:trPr>
          <w:trHeight w:val="183"/>
        </w:trPr>
        <w:tc>
          <w:tcPr>
            <w:tcW w:w="4560" w:type="dxa"/>
            <w:vAlign w:val="bottom"/>
            <w:shd w:val="clear" w:color="auto" w:fill="D9D9D9"/>
          </w:tcPr>
          <w:p>
            <w:pPr>
              <w:spacing w:after="0" w:line="183" w:lineRule="exact"/>
              <w:rPr>
                <w:sz w:val="20"/>
                <w:szCs w:val="20"/>
                <w:color w:val="auto"/>
              </w:rPr>
            </w:pPr>
            <w:r>
              <w:rPr>
                <w:rFonts w:ascii="Arial" w:cs="Arial" w:eastAsia="Arial" w:hAnsi="Arial"/>
                <w:sz w:val="16"/>
                <w:szCs w:val="16"/>
                <w:b w:val="1"/>
                <w:bCs w:val="1"/>
                <w:color w:val="auto"/>
              </w:rPr>
              <w:t>As reported (GAAP)</w:t>
            </w:r>
          </w:p>
        </w:tc>
        <w:tc>
          <w:tcPr>
            <w:tcW w:w="1160" w:type="dxa"/>
            <w:vAlign w:val="bottom"/>
            <w:shd w:val="clear" w:color="auto" w:fill="D9D9D9"/>
          </w:tcPr>
          <w:p>
            <w:pPr>
              <w:jc w:val="right"/>
              <w:ind w:right="140"/>
              <w:spacing w:after="0" w:line="183" w:lineRule="exact"/>
              <w:rPr>
                <w:sz w:val="20"/>
                <w:szCs w:val="20"/>
                <w:color w:val="auto"/>
              </w:rPr>
            </w:pPr>
            <w:r>
              <w:rPr>
                <w:rFonts w:ascii="Arial" w:cs="Arial" w:eastAsia="Arial" w:hAnsi="Arial"/>
                <w:sz w:val="16"/>
                <w:szCs w:val="16"/>
                <w:color w:val="auto"/>
              </w:rPr>
              <w:t>56,197</w:t>
            </w:r>
          </w:p>
        </w:tc>
        <w:tc>
          <w:tcPr>
            <w:tcW w:w="1460" w:type="dxa"/>
            <w:vAlign w:val="bottom"/>
            <w:shd w:val="clear" w:color="auto" w:fill="D9D9D9"/>
          </w:tcPr>
          <w:p>
            <w:pPr>
              <w:jc w:val="right"/>
              <w:ind w:right="180"/>
              <w:spacing w:after="0" w:line="183" w:lineRule="exact"/>
              <w:rPr>
                <w:sz w:val="20"/>
                <w:szCs w:val="20"/>
                <w:color w:val="auto"/>
              </w:rPr>
            </w:pPr>
            <w:r>
              <w:rPr>
                <w:rFonts w:ascii="Arial" w:cs="Arial" w:eastAsia="Arial" w:hAnsi="Arial"/>
                <w:sz w:val="16"/>
                <w:szCs w:val="16"/>
                <w:color w:val="auto"/>
              </w:rPr>
              <w:t>12,989</w:t>
            </w:r>
          </w:p>
        </w:tc>
        <w:tc>
          <w:tcPr>
            <w:tcW w:w="1140" w:type="dxa"/>
            <w:vAlign w:val="bottom"/>
            <w:shd w:val="clear" w:color="auto" w:fill="D9D9D9"/>
          </w:tcPr>
          <w:p>
            <w:pPr>
              <w:jc w:val="right"/>
              <w:ind w:right="160"/>
              <w:spacing w:after="0" w:line="183" w:lineRule="exact"/>
              <w:rPr>
                <w:sz w:val="20"/>
                <w:szCs w:val="20"/>
                <w:color w:val="auto"/>
              </w:rPr>
            </w:pPr>
            <w:r>
              <w:rPr>
                <w:rFonts w:ascii="Arial" w:cs="Arial" w:eastAsia="Arial" w:hAnsi="Arial"/>
                <w:sz w:val="16"/>
                <w:szCs w:val="16"/>
                <w:color w:val="auto"/>
              </w:rPr>
              <w:t>17,924</w:t>
            </w:r>
          </w:p>
        </w:tc>
        <w:tc>
          <w:tcPr>
            <w:tcW w:w="920" w:type="dxa"/>
            <w:vAlign w:val="bottom"/>
            <w:shd w:val="clear" w:color="auto" w:fill="D9D9D9"/>
          </w:tcPr>
          <w:p>
            <w:pPr>
              <w:jc w:val="right"/>
              <w:spacing w:after="0" w:line="183" w:lineRule="exact"/>
              <w:rPr>
                <w:sz w:val="20"/>
                <w:szCs w:val="20"/>
                <w:color w:val="auto"/>
              </w:rPr>
            </w:pPr>
            <w:r>
              <w:rPr>
                <w:rFonts w:ascii="Arial" w:cs="Arial" w:eastAsia="Arial" w:hAnsi="Arial"/>
                <w:sz w:val="16"/>
                <w:szCs w:val="16"/>
                <w:color w:val="auto"/>
              </w:rPr>
              <w:t>11,542</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Adjusted for specified items:</w:t>
            </w: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Intangible asset amortization</w:t>
            </w:r>
          </w:p>
        </w:tc>
        <w:tc>
          <w:tcPr>
            <w:tcW w:w="116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80"/>
              <w:spacing w:after="0"/>
              <w:rPr>
                <w:sz w:val="20"/>
                <w:szCs w:val="20"/>
                <w:color w:val="auto"/>
              </w:rPr>
            </w:pPr>
            <w:r>
              <w:rPr>
                <w:rFonts w:ascii="Arial" w:cs="Arial" w:eastAsia="Arial" w:hAnsi="Arial"/>
                <w:sz w:val="16"/>
                <w:szCs w:val="16"/>
                <w:color w:val="auto"/>
              </w:rPr>
              <w:t>7,718</w:t>
            </w:r>
          </w:p>
        </w:tc>
        <w:tc>
          <w:tcPr>
            <w:tcW w:w="1140" w:type="dxa"/>
            <w:vAlign w:val="bottom"/>
            <w:shd w:val="clear" w:color="auto" w:fill="D9D9D9"/>
          </w:tcPr>
          <w:p>
            <w:pPr>
              <w:jc w:val="right"/>
              <w:ind w:right="160"/>
              <w:spacing w:after="0"/>
              <w:rPr>
                <w:sz w:val="20"/>
                <w:szCs w:val="20"/>
                <w:color w:val="auto"/>
              </w:rPr>
            </w:pPr>
            <w:r>
              <w:rPr>
                <w:rFonts w:ascii="Arial" w:cs="Arial" w:eastAsia="Arial" w:hAnsi="Arial"/>
                <w:sz w:val="16"/>
                <w:szCs w:val="16"/>
                <w:color w:val="auto"/>
              </w:rPr>
              <w:t>7,718</w:t>
            </w: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6,419</w:t>
            </w:r>
          </w:p>
        </w:tc>
      </w:tr>
      <w:tr>
        <w:trPr>
          <w:trHeight w:val="189"/>
        </w:trPr>
        <w:tc>
          <w:tcPr>
            <w:tcW w:w="4560" w:type="dxa"/>
            <w:vAlign w:val="bottom"/>
          </w:tcPr>
          <w:p>
            <w:pPr>
              <w:ind w:left="220"/>
              <w:spacing w:after="0"/>
              <w:rPr>
                <w:sz w:val="20"/>
                <w:szCs w:val="20"/>
                <w:color w:val="auto"/>
              </w:rPr>
            </w:pPr>
            <w:r>
              <w:rPr>
                <w:rFonts w:ascii="Arial" w:cs="Arial" w:eastAsia="Arial" w:hAnsi="Arial"/>
                <w:sz w:val="16"/>
                <w:szCs w:val="16"/>
                <w:color w:val="auto"/>
              </w:rPr>
              <w:t>Acquisition and integration costs</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344</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344</w:t>
            </w:r>
          </w:p>
        </w:tc>
        <w:tc>
          <w:tcPr>
            <w:tcW w:w="9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189"/>
        </w:trPr>
        <w:tc>
          <w:tcPr>
            <w:tcW w:w="4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Milestones and other R&amp;D expenses</w:t>
            </w:r>
          </w:p>
        </w:tc>
        <w:tc>
          <w:tcPr>
            <w:tcW w:w="116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80"/>
              <w:spacing w:after="0"/>
              <w:rPr>
                <w:sz w:val="20"/>
                <w:szCs w:val="20"/>
                <w:color w:val="auto"/>
              </w:rPr>
            </w:pPr>
            <w:r>
              <w:rPr>
                <w:rFonts w:ascii="Arial" w:cs="Arial" w:eastAsia="Arial" w:hAnsi="Arial"/>
                <w:sz w:val="16"/>
                <w:szCs w:val="16"/>
                <w:color w:val="auto"/>
              </w:rPr>
              <w:t>359</w:t>
            </w:r>
          </w:p>
        </w:tc>
        <w:tc>
          <w:tcPr>
            <w:tcW w:w="1140" w:type="dxa"/>
            <w:vAlign w:val="bottom"/>
            <w:shd w:val="clear" w:color="auto" w:fill="D9D9D9"/>
          </w:tcPr>
          <w:p>
            <w:pPr>
              <w:jc w:val="right"/>
              <w:ind w:right="160"/>
              <w:spacing w:after="0"/>
              <w:rPr>
                <w:sz w:val="20"/>
                <w:szCs w:val="20"/>
                <w:color w:val="auto"/>
              </w:rPr>
            </w:pPr>
            <w:r>
              <w:rPr>
                <w:rFonts w:ascii="Arial" w:cs="Arial" w:eastAsia="Arial" w:hAnsi="Arial"/>
                <w:sz w:val="16"/>
                <w:szCs w:val="16"/>
                <w:color w:val="auto"/>
              </w:rPr>
              <w:t>359</w:t>
            </w: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307</w:t>
            </w:r>
          </w:p>
        </w:tc>
      </w:tr>
      <w:tr>
        <w:trPr>
          <w:trHeight w:val="189"/>
        </w:trPr>
        <w:tc>
          <w:tcPr>
            <w:tcW w:w="4560" w:type="dxa"/>
            <w:vAlign w:val="bottom"/>
          </w:tcPr>
          <w:p>
            <w:pPr>
              <w:ind w:left="220"/>
              <w:spacing w:after="0"/>
              <w:rPr>
                <w:sz w:val="20"/>
                <w:szCs w:val="20"/>
                <w:color w:val="auto"/>
              </w:rPr>
            </w:pPr>
            <w:r>
              <w:rPr>
                <w:rFonts w:ascii="Arial" w:cs="Arial" w:eastAsia="Arial" w:hAnsi="Arial"/>
                <w:sz w:val="16"/>
                <w:szCs w:val="16"/>
                <w:color w:val="auto"/>
              </w:rPr>
              <w:t>Acquired IPR&amp;D</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962</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962</w:t>
            </w:r>
          </w:p>
        </w:tc>
        <w:tc>
          <w:tcPr>
            <w:tcW w:w="92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189"/>
        </w:trPr>
        <w:tc>
          <w:tcPr>
            <w:tcW w:w="4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Calico collaboration</w:t>
            </w:r>
          </w:p>
        </w:tc>
        <w:tc>
          <w:tcPr>
            <w:tcW w:w="116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80"/>
              <w:spacing w:after="0"/>
              <w:rPr>
                <w:sz w:val="20"/>
                <w:szCs w:val="20"/>
                <w:color w:val="auto"/>
              </w:rPr>
            </w:pPr>
            <w:r>
              <w:rPr>
                <w:rFonts w:ascii="Arial" w:cs="Arial" w:eastAsia="Arial" w:hAnsi="Arial"/>
                <w:sz w:val="16"/>
                <w:szCs w:val="16"/>
                <w:color w:val="auto"/>
              </w:rPr>
              <w:t>500</w:t>
            </w:r>
          </w:p>
        </w:tc>
        <w:tc>
          <w:tcPr>
            <w:tcW w:w="1140" w:type="dxa"/>
            <w:vAlign w:val="bottom"/>
            <w:shd w:val="clear" w:color="auto" w:fill="D9D9D9"/>
          </w:tcPr>
          <w:p>
            <w:pPr>
              <w:jc w:val="right"/>
              <w:ind w:right="160"/>
              <w:spacing w:after="0"/>
              <w:rPr>
                <w:sz w:val="20"/>
                <w:szCs w:val="20"/>
                <w:color w:val="auto"/>
              </w:rPr>
            </w:pPr>
            <w:r>
              <w:rPr>
                <w:rFonts w:ascii="Arial" w:cs="Arial" w:eastAsia="Arial" w:hAnsi="Arial"/>
                <w:sz w:val="16"/>
                <w:szCs w:val="16"/>
                <w:color w:val="auto"/>
              </w:rPr>
              <w:t>500</w:t>
            </w: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500</w:t>
            </w:r>
          </w:p>
        </w:tc>
      </w:tr>
      <w:tr>
        <w:trPr>
          <w:trHeight w:val="189"/>
        </w:trPr>
        <w:tc>
          <w:tcPr>
            <w:tcW w:w="4560" w:type="dxa"/>
            <w:vAlign w:val="bottom"/>
          </w:tcPr>
          <w:p>
            <w:pPr>
              <w:ind w:left="220"/>
              <w:spacing w:after="0"/>
              <w:rPr>
                <w:sz w:val="20"/>
                <w:szCs w:val="20"/>
                <w:color w:val="auto"/>
              </w:rPr>
            </w:pPr>
            <w:r>
              <w:rPr>
                <w:rFonts w:ascii="Arial" w:cs="Arial" w:eastAsia="Arial" w:hAnsi="Arial"/>
                <w:sz w:val="16"/>
                <w:szCs w:val="16"/>
                <w:color w:val="auto"/>
              </w:rPr>
              <w:t>Change in fair value of contingent consideration</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2,679</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189"/>
        </w:trPr>
        <w:tc>
          <w:tcPr>
            <w:tcW w:w="4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Litigation matters</w:t>
            </w:r>
          </w:p>
        </w:tc>
        <w:tc>
          <w:tcPr>
            <w:tcW w:w="1160" w:type="dxa"/>
            <w:vAlign w:val="bottom"/>
            <w:shd w:val="clear" w:color="auto" w:fill="D9D9D9"/>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9D9D9"/>
          </w:tcPr>
          <w:p>
            <w:pPr>
              <w:jc w:val="right"/>
              <w:ind w:right="180"/>
              <w:spacing w:after="0"/>
              <w:rPr>
                <w:sz w:val="20"/>
                <w:szCs w:val="20"/>
                <w:color w:val="auto"/>
              </w:rPr>
            </w:pPr>
            <w:r>
              <w:rPr>
                <w:rFonts w:ascii="Arial" w:cs="Arial" w:eastAsia="Arial" w:hAnsi="Arial"/>
                <w:sz w:val="16"/>
                <w:szCs w:val="16"/>
                <w:color w:val="auto"/>
              </w:rPr>
              <w:t>307</w:t>
            </w:r>
          </w:p>
        </w:tc>
        <w:tc>
          <w:tcPr>
            <w:tcW w:w="1140" w:type="dxa"/>
            <w:vAlign w:val="bottom"/>
            <w:shd w:val="clear" w:color="auto" w:fill="D9D9D9"/>
          </w:tcPr>
          <w:p>
            <w:pPr>
              <w:jc w:val="right"/>
              <w:ind w:right="160"/>
              <w:spacing w:after="0"/>
              <w:rPr>
                <w:sz w:val="20"/>
                <w:szCs w:val="20"/>
                <w:color w:val="auto"/>
              </w:rPr>
            </w:pPr>
            <w:r>
              <w:rPr>
                <w:rFonts w:ascii="Arial" w:cs="Arial" w:eastAsia="Arial" w:hAnsi="Arial"/>
                <w:sz w:val="16"/>
                <w:szCs w:val="16"/>
                <w:color w:val="auto"/>
              </w:rPr>
              <w:t>307</w:t>
            </w: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253</w:t>
            </w:r>
          </w:p>
        </w:tc>
      </w:tr>
      <w:tr>
        <w:trPr>
          <w:trHeight w:val="189"/>
        </w:trPr>
        <w:tc>
          <w:tcPr>
            <w:tcW w:w="4560" w:type="dxa"/>
            <w:vAlign w:val="bottom"/>
          </w:tcPr>
          <w:p>
            <w:pPr>
              <w:ind w:left="220"/>
              <w:spacing w:after="0"/>
              <w:rPr>
                <w:sz w:val="20"/>
                <w:szCs w:val="20"/>
                <w:color w:val="auto"/>
              </w:rPr>
            </w:pPr>
            <w:r>
              <w:rPr>
                <w:rFonts w:ascii="Arial" w:cs="Arial" w:eastAsia="Arial" w:hAnsi="Arial"/>
                <w:sz w:val="16"/>
                <w:szCs w:val="16"/>
                <w:color w:val="auto"/>
              </w:rPr>
              <w:t>Impacts related to tax law changes and audit settlements</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189"/>
        </w:trPr>
        <w:tc>
          <w:tcPr>
            <w:tcW w:w="45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D9D9D9"/>
          </w:tcPr>
          <w:p>
            <w:pPr>
              <w:jc w:val="right"/>
              <w:ind w:right="100"/>
              <w:spacing w:after="0"/>
              <w:rPr>
                <w:sz w:val="20"/>
                <w:szCs w:val="20"/>
                <w:color w:val="auto"/>
              </w:rPr>
            </w:pPr>
            <w:r>
              <w:rPr>
                <w:rFonts w:ascii="Arial" w:cs="Arial" w:eastAsia="Arial" w:hAnsi="Arial"/>
                <w:sz w:val="16"/>
                <w:szCs w:val="16"/>
                <w:color w:val="auto"/>
              </w:rPr>
              <w:t>(75)</w:t>
            </w:r>
          </w:p>
        </w:tc>
        <w:tc>
          <w:tcPr>
            <w:tcW w:w="1460" w:type="dxa"/>
            <w:vAlign w:val="bottom"/>
            <w:shd w:val="clear" w:color="auto" w:fill="D9D9D9"/>
          </w:tcPr>
          <w:p>
            <w:pPr>
              <w:jc w:val="right"/>
              <w:ind w:right="180"/>
              <w:spacing w:after="0"/>
              <w:rPr>
                <w:sz w:val="20"/>
                <w:szCs w:val="20"/>
                <w:color w:val="auto"/>
              </w:rPr>
            </w:pPr>
            <w:r>
              <w:rPr>
                <w:rFonts w:ascii="Arial" w:cs="Arial" w:eastAsia="Arial" w:hAnsi="Arial"/>
                <w:sz w:val="16"/>
                <w:szCs w:val="16"/>
                <w:color w:val="auto"/>
              </w:rPr>
              <w:t>88</w:t>
            </w:r>
          </w:p>
        </w:tc>
        <w:tc>
          <w:tcPr>
            <w:tcW w:w="1140" w:type="dxa"/>
            <w:vAlign w:val="bottom"/>
            <w:shd w:val="clear" w:color="auto" w:fill="D9D9D9"/>
          </w:tcPr>
          <w:p>
            <w:pPr>
              <w:jc w:val="right"/>
              <w:ind w:right="160"/>
              <w:spacing w:after="0"/>
              <w:rPr>
                <w:sz w:val="20"/>
                <w:szCs w:val="20"/>
                <w:color w:val="auto"/>
              </w:rPr>
            </w:pPr>
            <w:r>
              <w:rPr>
                <w:rFonts w:ascii="Arial" w:cs="Arial" w:eastAsia="Arial" w:hAnsi="Arial"/>
                <w:sz w:val="16"/>
                <w:szCs w:val="16"/>
                <w:color w:val="auto"/>
              </w:rPr>
              <w:t>101</w:t>
            </w:r>
          </w:p>
        </w:tc>
        <w:tc>
          <w:tcPr>
            <w:tcW w:w="9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100</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Adjusted for foreign exchange:</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(637)</w:t>
            </w:r>
          </w:p>
        </w:tc>
        <w:tc>
          <w:tcPr>
            <w:tcW w:w="146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5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As adjusted (non-GAAP)</w:t>
            </w:r>
          </w:p>
        </w:tc>
        <w:tc>
          <w:tcPr>
            <w:tcW w:w="1160" w:type="dxa"/>
            <w:vAlign w:val="bottom"/>
            <w:tcBorders>
              <w:bottom w:val="single" w:sz="8" w:color="auto"/>
            </w:tcBorders>
            <w:shd w:val="clear" w:color="auto" w:fill="D9D9D9"/>
          </w:tcPr>
          <w:p>
            <w:pPr>
              <w:jc w:val="right"/>
              <w:ind w:right="140"/>
              <w:spacing w:after="0"/>
              <w:rPr>
                <w:sz w:val="20"/>
                <w:szCs w:val="20"/>
                <w:color w:val="auto"/>
              </w:rPr>
            </w:pPr>
            <w:r>
              <w:rPr>
                <w:rFonts w:ascii="Arial" w:cs="Arial" w:eastAsia="Arial" w:hAnsi="Arial"/>
                <w:sz w:val="16"/>
                <w:szCs w:val="16"/>
                <w:color w:val="auto"/>
              </w:rPr>
              <w:t>55,485</w:t>
            </w:r>
          </w:p>
        </w:tc>
        <w:tc>
          <w:tcPr>
            <w:tcW w:w="1460" w:type="dxa"/>
            <w:vAlign w:val="bottom"/>
            <w:tcBorders>
              <w:bottom w:val="single" w:sz="8" w:color="auto"/>
            </w:tcBorders>
            <w:shd w:val="clear" w:color="auto" w:fill="D9D9D9"/>
          </w:tcPr>
          <w:p>
            <w:pPr>
              <w:jc w:val="right"/>
              <w:ind w:right="180"/>
              <w:spacing w:after="0"/>
              <w:rPr>
                <w:sz w:val="20"/>
                <w:szCs w:val="20"/>
                <w:color w:val="auto"/>
              </w:rPr>
            </w:pPr>
            <w:r>
              <w:rPr>
                <w:rFonts w:ascii="Arial" w:cs="Arial" w:eastAsia="Arial" w:hAnsi="Arial"/>
                <w:sz w:val="16"/>
                <w:szCs w:val="16"/>
                <w:color w:val="auto"/>
              </w:rPr>
              <w:t>25,920</w:t>
            </w:r>
          </w:p>
        </w:tc>
        <w:tc>
          <w:tcPr>
            <w:tcW w:w="1140" w:type="dxa"/>
            <w:vAlign w:val="bottom"/>
            <w:tcBorders>
              <w:bottom w:val="single" w:sz="8" w:color="auto"/>
            </w:tcBorders>
            <w:shd w:val="clear" w:color="auto" w:fill="D9D9D9"/>
          </w:tcPr>
          <w:p>
            <w:pPr>
              <w:jc w:val="right"/>
              <w:ind w:right="160"/>
              <w:spacing w:after="0"/>
              <w:rPr>
                <w:sz w:val="20"/>
                <w:szCs w:val="20"/>
                <w:color w:val="auto"/>
              </w:rPr>
            </w:pPr>
            <w:r>
              <w:rPr>
                <w:rFonts w:ascii="Arial" w:cs="Arial" w:eastAsia="Arial" w:hAnsi="Arial"/>
                <w:sz w:val="16"/>
                <w:szCs w:val="16"/>
                <w:color w:val="auto"/>
              </w:rPr>
              <w:t>28,181</w:t>
            </w:r>
          </w:p>
        </w:tc>
        <w:tc>
          <w:tcPr>
            <w:tcW w:w="9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22,696</w:t>
            </w:r>
          </w:p>
        </w:tc>
      </w:tr>
    </w:tbl>
    <w:p>
      <w:pPr>
        <w:spacing w:after="0" w:line="275" w:lineRule="exact"/>
        <w:rPr>
          <w:sz w:val="20"/>
          <w:szCs w:val="20"/>
          <w:color w:val="auto"/>
        </w:rPr>
      </w:pPr>
    </w:p>
    <w:p>
      <w:pPr>
        <w:ind w:left="1"/>
        <w:spacing w:after="0"/>
        <w:rPr>
          <w:sz w:val="20"/>
          <w:szCs w:val="20"/>
          <w:color w:val="auto"/>
        </w:rPr>
      </w:pPr>
      <w:r>
        <w:rPr>
          <w:rFonts w:ascii="Arial" w:cs="Arial" w:eastAsia="Arial" w:hAnsi="Arial"/>
          <w:sz w:val="14"/>
          <w:szCs w:val="14"/>
          <w:color w:val="auto"/>
        </w:rPr>
        <w:t>*Represents net earnings attributable to AbbVie Inc.</w:t>
      </w:r>
    </w:p>
    <w:p>
      <w:pPr>
        <w:spacing w:after="0" w:line="200" w:lineRule="exact"/>
        <w:rPr>
          <w:sz w:val="20"/>
          <w:szCs w:val="20"/>
          <w:color w:val="auto"/>
        </w:rPr>
      </w:pPr>
    </w:p>
    <w:p>
      <w:pPr>
        <w:spacing w:after="0" w:line="227" w:lineRule="exact"/>
        <w:rPr>
          <w:sz w:val="20"/>
          <w:szCs w:val="20"/>
          <w:color w:val="auto"/>
        </w:rPr>
      </w:pPr>
    </w:p>
    <w:p>
      <w:pPr>
        <w:ind w:left="1"/>
        <w:spacing w:after="0"/>
        <w:tabs>
          <w:tab w:leader="none" w:pos="2401" w:val="left"/>
        </w:tabs>
        <w:rPr>
          <w:sz w:val="20"/>
          <w:szCs w:val="20"/>
          <w:color w:val="auto"/>
        </w:rPr>
      </w:pPr>
      <w:r>
        <w:rPr>
          <w:rFonts w:ascii="Arial" w:cs="Arial" w:eastAsia="Arial" w:hAnsi="Arial"/>
          <w:sz w:val="18"/>
          <w:szCs w:val="18"/>
          <w:color w:val="auto"/>
        </w:rPr>
        <w:t xml:space="preserve">B-2  </w:t>
      </w:r>
      <w:r>
        <w:rPr>
          <w:sz w:val="1"/>
          <w:szCs w:val="1"/>
          <w:color w:val="auto"/>
        </w:rPr>
        <w:drawing>
          <wp:inline distT="0" distB="0" distL="0" distR="0">
            <wp:extent cx="874395" cy="16256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74395" cy="162560"/>
                    </a:xfrm>
                    <a:prstGeom prst="rect">
                      <a:avLst/>
                    </a:prstGeom>
                    <a:noFill/>
                    <a:ln>
                      <a:noFill/>
                    </a:ln>
                  </pic:spPr>
                </pic:pic>
              </a:graphicData>
            </a:graphic>
          </wp:inline>
        </w:drawing>
      </w:r>
      <w:r>
        <w:rPr>
          <w:rFonts w:ascii="Arial" w:cs="Arial" w:eastAsia="Arial" w:hAnsi="Arial"/>
          <w:sz w:val="27"/>
          <w:szCs w:val="27"/>
          <w:color w:val="auto"/>
        </w:rPr>
        <w:t xml:space="preserve">  |</w:t>
      </w:r>
      <w:r>
        <w:rPr>
          <w:sz w:val="20"/>
          <w:szCs w:val="20"/>
          <w:color w:val="auto"/>
        </w:rPr>
        <w:tab/>
      </w:r>
      <w:r>
        <w:rPr>
          <w:rFonts w:ascii="Arial" w:cs="Arial" w:eastAsia="Arial" w:hAnsi="Arial"/>
          <w:sz w:val="17"/>
          <w:szCs w:val="17"/>
          <w:i w:val="1"/>
          <w:iCs w:val="1"/>
          <w:color w:val="auto"/>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588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61"/>
          </w:cols>
          <w:pgMar w:left="1319" w:top="530" w:right="1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Acquisition and integration costs reflect Allergan integration costs, Soliton acquisition costs as well as amortization of the acquisition date fair value step-up for inventory related to the Allergan acquisition partially offset by a recovery of certain Allergan acquisition-related regulatory fees. Milestones and other R&amp;D expenses include milestone payments for previously announced collaborations and the purchase of FDA priority review vouchers from third parties. Acquired IPR&amp;D represents initial costs to acquire rights to in-process R&amp;D projects through R&amp;D collaborations, licensing arrangements or other asset acquisitions. Other primarily includes COVID-19 related expenses, restructuring charges associated with streamlining global operations and tax related items, offset by milestone revenue under an existing collaboration agreement.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8060" w:type="dxa"/>
            <w:vAlign w:val="bottom"/>
          </w:tcPr>
          <w:p>
            <w:pPr>
              <w:ind w:left="5040"/>
              <w:spacing w:after="0"/>
              <w:rPr>
                <w:sz w:val="20"/>
                <w:szCs w:val="20"/>
                <w:color w:val="auto"/>
              </w:rPr>
            </w:pPr>
            <w:r>
              <w:rPr>
                <w:rFonts w:ascii="Arial" w:cs="Arial" w:eastAsia="Arial" w:hAnsi="Arial"/>
                <w:sz w:val="18"/>
                <w:szCs w:val="18"/>
                <w:i w:val="1"/>
                <w:iCs w:val="1"/>
                <w:color w:val="auto"/>
              </w:rPr>
              <w:t xml:space="preserve">2022 Proxy Statement   </w:t>
            </w:r>
            <w:r>
              <w:rPr>
                <w:rFonts w:ascii="Arial" w:cs="Arial" w:eastAsia="Arial" w:hAnsi="Arial"/>
                <w:sz w:val="26"/>
                <w:szCs w:val="26"/>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w w:val="99"/>
              </w:rPr>
              <w:t>B-3</w:t>
            </w:r>
          </w:p>
        </w:tc>
      </w:tr>
      <w:tr>
        <w:trPr>
          <w:trHeight w:val="548"/>
        </w:trPr>
        <w:tc>
          <w:tcPr>
            <w:tcW w:w="8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-548005</wp:posOffset>
            </wp:positionV>
            <wp:extent cx="874395" cy="1631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74395" cy="163195"/>
                    </a:xfrm>
                    <a:prstGeom prst="rect">
                      <a:avLst/>
                    </a:prstGeom>
                    <a:noFill/>
                  </pic:spPr>
                </pic:pic>
              </a:graphicData>
            </a:graphic>
          </wp:anchor>
        </w:drawing>
      </w:r>
    </w:p>
    <w:p>
      <w:pPr>
        <w:sectPr>
          <w:pgSz w:w="11900" w:h="16838" w:orient="portrait"/>
          <w:cols w:equalWidth="0" w:num="1">
            <w:col w:w="9260"/>
          </w:cols>
          <w:pgMar w:left="1320" w:top="530" w:right="131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459105</wp:posOffset>
            </wp:positionV>
            <wp:extent cx="5880735" cy="79552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880735" cy="7955280"/>
                    </a:xfrm>
                    <a:prstGeom prst="rect">
                      <a:avLst/>
                    </a:prstGeom>
                    <a:noFill/>
                  </pic:spPr>
                </pic:pic>
              </a:graphicData>
            </a:graphic>
          </wp:anchor>
        </w:drawing>
      </w:r>
    </w:p>
    <w:p>
      <w:pPr>
        <w:sectPr>
          <w:pgSz w:w="11900" w:h="16838" w:orient="portrait"/>
          <w:cols w:equalWidth="0" w:num="1">
            <w:col w:w="9139"/>
          </w:cols>
          <w:pgMar w:left="1320" w:top="530" w:right="1440"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390525</wp:posOffset>
            </wp:positionV>
            <wp:extent cx="5880735" cy="82124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880735" cy="8212455"/>
                    </a:xfrm>
                    <a:prstGeom prst="rect">
                      <a:avLst/>
                    </a:prstGeom>
                    <a:noFill/>
                  </pic:spPr>
                </pic:pic>
              </a:graphicData>
            </a:graphic>
          </wp:anchor>
        </w:drawing>
      </w:r>
    </w:p>
    <w:p>
      <w:pPr>
        <w:sectPr>
          <w:pgSz w:w="11900" w:h="16838" w:orient="portrait"/>
          <w:cols w:equalWidth="0" w:num="1">
            <w:col w:w="9139"/>
          </w:cols>
          <w:pgMar w:left="1320" w:top="530" w:right="1440"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399415</wp:posOffset>
            </wp:positionV>
            <wp:extent cx="5880735" cy="79381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80735" cy="7938135"/>
                    </a:xfrm>
                    <a:prstGeom prst="rect">
                      <a:avLst/>
                    </a:prstGeom>
                    <a:noFill/>
                  </pic:spPr>
                </pic:pic>
              </a:graphicData>
            </a:graphic>
          </wp:anchor>
        </w:drawing>
      </w:r>
    </w:p>
    <w:p>
      <w:pPr>
        <w:sectPr>
          <w:pgSz w:w="11900" w:h="16838" w:orient="portrait"/>
          <w:cols w:equalWidth="0" w:num="1">
            <w:col w:w="9139"/>
          </w:cols>
          <w:pgMar w:left="1320" w:top="530" w:right="1440"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399415</wp:posOffset>
            </wp:positionV>
            <wp:extent cx="5880735" cy="8169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80735" cy="8169910"/>
                    </a:xfrm>
                    <a:prstGeom prst="rect">
                      <a:avLst/>
                    </a:prstGeom>
                    <a:noFill/>
                  </pic:spPr>
                </pic:pic>
              </a:graphicData>
            </a:graphic>
          </wp:anchor>
        </w:drawing>
      </w:r>
    </w:p>
    <w:sectPr>
      <w:pgSz w:w="11900" w:h="16838" w:orient="portrait"/>
      <w:cols w:equalWidth="0" w:num="1">
        <w:col w:w="9139"/>
      </w:cols>
      <w:pgMar w:left="1320" w:top="5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bullet"/>
      <w:start w:val="1"/>
    </w:lvl>
  </w:abstractNum>
  <w:abstractNum w:abstractNumId="21">
    <w:nsid w:val="354FE9F9"/>
    <w:multiLevelType w:val="hybridMultilevel"/>
    <w:lvl w:ilvl="0">
      <w:lvlJc w:val="left"/>
      <w:lvlText w:val="2"/>
      <w:numFmt w:val="bullet"/>
      <w:start w:val="1"/>
    </w:lvl>
  </w:abstractNum>
  <w:abstractNum w:abstractNumId="22">
    <w:nsid w:val="15B5AF5C"/>
    <w:multiLevelType w:val="hybridMultilevel"/>
    <w:lvl w:ilvl="0">
      <w:lvlJc w:val="left"/>
      <w:lvlText w:val="3"/>
      <w:numFmt w:val="bullet"/>
      <w:start w:val="1"/>
    </w:lvl>
  </w:abstractNum>
  <w:abstractNum w:abstractNumId="23">
    <w:nsid w:val="741226BB"/>
    <w:multiLevelType w:val="hybridMultilevel"/>
    <w:lvl w:ilvl="0">
      <w:lvlJc w:val="left"/>
      <w:lvlText w:val="\emdash "/>
      <w:numFmt w:val="bullet"/>
      <w:start w:val="1"/>
    </w:lvl>
  </w:abstractNum>
  <w:abstractNum w:abstractNumId="24">
    <w:nsid w:val="D34B6A8"/>
    <w:multiLevelType w:val="hybridMultilevel"/>
    <w:lvl w:ilvl="0">
      <w:lvlJc w:val="left"/>
      <w:lvlText w:val="\emdash "/>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upperLetter"/>
      <w:start w:val="18"/>
    </w:lvl>
  </w:abstractNum>
  <w:abstractNum w:abstractNumId="37">
    <w:nsid w:val="1F48EAA1"/>
    <w:multiLevelType w:val="hybridMultilevel"/>
    <w:lvl w:ilvl="0">
      <w:lvlJc w:val="left"/>
      <w:lvlText w:val="%1."/>
      <w:numFmt w:val="upperLetter"/>
      <w:start w:val="20"/>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3"/>
    </w:lvl>
  </w:abstractNum>
  <w:abstractNum w:abstractNumId="41">
    <w:nsid w:val="6590700B"/>
    <w:multiLevelType w:val="hybridMultilevel"/>
    <w:lvl w:ilvl="0">
      <w:lvlJc w:val="left"/>
      <w:lvlText w:val="(%1)"/>
      <w:numFmt w:val="decimal"/>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X"/>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emdash "/>
      <w:numFmt w:val="bullet"/>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lvl w:ilvl="1">
      <w:lvlJc w:val="left"/>
      <w:lvlText w:val="●"/>
      <w:numFmt w:val="bullet"/>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3"/>
    </w:lvl>
  </w:abstractNum>
  <w:abstractNum w:abstractNumId="58">
    <w:nsid w:val="42963E5A"/>
    <w:multiLevelType w:val="hybridMultilevel"/>
    <w:lvl w:ilvl="0">
      <w:lvlJc w:val="left"/>
      <w:lvlText w:val="(%1)"/>
      <w:numFmt w:val="decimal"/>
      <w:start w:val="4"/>
    </w:lvl>
  </w:abstractNum>
  <w:abstractNum w:abstractNumId="59">
    <w:nsid w:val="A0382C5"/>
    <w:multiLevelType w:val="hybridMultilevel"/>
    <w:lvl w:ilvl="0">
      <w:lvlJc w:val="left"/>
      <w:lvlText w:val="%1."/>
      <w:numFmt w:val="upperLetter"/>
      <w:start w:val="12"/>
    </w:lvl>
  </w:abstractNum>
  <w:abstractNum w:abstractNumId="60">
    <w:nsid w:val="8F2B15E"/>
    <w:multiLevelType w:val="hybridMultilevel"/>
    <w:lvl w:ilvl="0">
      <w:lvlJc w:val="left"/>
      <w:lvlText w:val="(%1)"/>
      <w:numFmt w:val="decimal"/>
      <w:start w:val="5"/>
    </w:lvl>
  </w:abstractNum>
  <w:abstractNum w:abstractNumId="61">
    <w:nsid w:val="1A32234B"/>
    <w:multiLevelType w:val="hybridMultilevel"/>
    <w:lvl w:ilvl="0">
      <w:lvlJc w:val="left"/>
      <w:lvlText w:val="%1."/>
      <w:numFmt w:val="upperLetter"/>
      <w:start w:val="18"/>
    </w:lvl>
  </w:abstractNum>
  <w:abstractNum w:abstractNumId="62">
    <w:nsid w:val="3B0FD379"/>
    <w:multiLevelType w:val="hybridMultilevel"/>
    <w:lvl w:ilvl="0">
      <w:lvlJc w:val="left"/>
      <w:lvlText w:val="%1."/>
      <w:numFmt w:val="upperLetter"/>
      <w:start w:val="18"/>
    </w:lvl>
  </w:abstractNum>
  <w:abstractNum w:abstractNumId="63">
    <w:nsid w:val="68EB2F63"/>
    <w:multiLevelType w:val="hybridMultilevel"/>
    <w:lvl w:ilvl="0">
      <w:lvlJc w:val="left"/>
      <w:lvlText w:val="(%1)"/>
      <w:numFmt w:val="lowerRoman"/>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3"/>
    </w:lvl>
  </w:abstractNum>
  <w:abstractNum w:abstractNumId="66">
    <w:nsid w:val="6A5EE64"/>
    <w:multiLevelType w:val="hybridMultilevel"/>
    <w:lvl w:ilvl="0">
      <w:lvlJc w:val="left"/>
      <w:lvlText w:val="(%1)"/>
      <w:numFmt w:val="decimal"/>
      <w:start w:val="2"/>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3"/>
    </w:lvl>
  </w:abstractNum>
  <w:abstractNum w:abstractNumId="69">
    <w:nsid w:val="1A27709E"/>
    <w:multiLevelType w:val="hybridMultilevel"/>
    <w:lvl w:ilvl="0">
      <w:lvlJc w:val="left"/>
      <w:lvlText w:val="%1."/>
      <w:numFmt w:val="upperLetter"/>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2"/>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lvl w:ilvl="1">
      <w:lvlJc w:val="left"/>
      <w:lvlText w:val="(%2)"/>
      <w:numFmt w:val="lowerRoman"/>
      <w:start w:val="2"/>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1"/>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i"/>
      <w:numFmt w:val="bullet"/>
      <w:start w:val="1"/>
    </w:lvl>
  </w:abstractNum>
  <w:abstractNum w:abstractNumId="84">
    <w:nsid w:val="2DF6D648"/>
    <w:multiLevelType w:val="hybridMultilevel"/>
    <w:lvl w:ilvl="0">
      <w:lvlJc w:val="left"/>
      <w:lvlText w:val="1"/>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decimal"/>
      <w:start w:val="2"/>
    </w:lvl>
  </w:abstractNum>
  <w:abstractNum w:abstractNumId="94">
    <w:nsid w:val="49DA307D"/>
    <w:multiLevelType w:val="hybridMultilevel"/>
    <w:lvl w:ilvl="0">
      <w:lvlJc w:val="left"/>
      <w:lvlText w:val="%1."/>
      <w:numFmt w:val="decimal"/>
      <w:start w:val="2"/>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2022-03-21T16:07:00Z</dcterms:created>
  <dcterms:modified xsi:type="dcterms:W3CDTF">2022-03-21T16:07:00Z</dcterms:modified>
</cp:coreProperties>
</file>