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tm266774d5_fwp.htm"/>
      <w:bookmarkStart w:id="1" w:name="kstm266774d5_fwp"/>
      <w:bookmarkEnd w:id="0"/>
      <w:bookmarkEnd w:id="1"/>
      <w:r>
        <w:rPr>
          <w:b/>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February 26,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Issuer Free Writing Prospectus supplementing the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 dated</w:t>
        <w:br/>
        <w:t xml:space="preserve">February 24, 2026 and the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February 14, 2025</w:t>
        <w:br/>
        <w:t>Registration No. 333-284980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Explanatory Note: This pricing term sheet corrects a typographical error in the Day Count Convention for the Floating Rate Notes and supersedes the pricing term sheet dated February 24,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term sheet to the preliminary prospectus supplement dated February 24, 2026 should be read together with the preliminary prospectus supplement. The information in this term sheet supersedes the information contained in the preliminary prospectus supplement to the extent that it is inconsistent therewith.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AbbVie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$750,000,000 Senior Floating Rate Notes due 2028 (the “Floating Rate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3.775% Senior Notes due 2028 (the “2028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4.125% Senior Notes due 2031 (the “2031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4.400% Senior Notes due 2033 (the “2033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4.750% Senior Notes due 2036 (the “2036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5.550% Senior Notes due 2056 (the “2056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5.650% Senior Notes due 2066 (the “2066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Each Series of the Notes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9"/>
        <w:gridCol w:w="60"/>
        <w:gridCol w:w="7636"/>
      </w:tblGrid>
      <w:tr>
        <w:trPr/>
        <w:tc>
          <w:tcPr>
            <w:tcW w:w="2509" w:type="dxa"/>
            <w:tcBorders/>
            <w:vAlign w:val="center"/>
          </w:tcPr>
          <w:p>
            <w:pPr>
              <w:pStyle w:val="TableContents"/>
              <w:bidi w:val="0"/>
              <w:spacing w:before="0" w:after="283"/>
              <w:jc w:val="left"/>
              <w:rPr>
                <w:b/>
                <w:sz w:val="20"/>
              </w:rPr>
            </w:pPr>
            <w:r>
              <w:rPr>
                <w:b/>
                <w:sz w:val="20"/>
              </w:rPr>
              <w:t>Issuer:</w:t>
            </w:r>
          </w:p>
        </w:tc>
        <w:tc>
          <w:tcPr>
            <w:tcW w:w="60" w:type="dxa"/>
            <w:tcBorders/>
            <w:vAlign w:val="center"/>
          </w:tcPr>
          <w:p>
            <w:pPr>
              <w:pStyle w:val="TableContents"/>
              <w:bidi w:val="0"/>
              <w:spacing w:before="0" w:after="283"/>
              <w:jc w:val="left"/>
              <w:rPr/>
            </w:pPr>
            <w:r>
              <w:rPr/>
              <w:t> </w:t>
            </w:r>
          </w:p>
        </w:tc>
        <w:tc>
          <w:tcPr>
            <w:tcW w:w="7636" w:type="dxa"/>
            <w:tcBorders/>
            <w:vAlign w:val="center"/>
          </w:tcPr>
          <w:p>
            <w:pPr>
              <w:pStyle w:val="TableContents"/>
              <w:bidi w:val="0"/>
              <w:spacing w:before="0" w:after="283"/>
              <w:jc w:val="left"/>
              <w:rPr>
                <w:sz w:val="20"/>
              </w:rPr>
            </w:pPr>
            <w:r>
              <w:rPr>
                <w:sz w:val="20"/>
              </w:rPr>
              <w:t>AbbVie Inc.</w:t>
            </w:r>
          </w:p>
        </w:tc>
      </w:tr>
      <w:tr>
        <w:trPr/>
        <w:tc>
          <w:tcPr>
            <w:tcW w:w="2509" w:type="dxa"/>
            <w:tcBorders/>
            <w:vAlign w:val="center"/>
          </w:tcPr>
          <w:p>
            <w:pPr>
              <w:pStyle w:val="TableContents"/>
              <w:bidi w:val="0"/>
              <w:spacing w:before="0" w:after="283"/>
              <w:jc w:val="left"/>
              <w:rPr>
                <w:b/>
                <w:sz w:val="20"/>
              </w:rPr>
            </w:pPr>
            <w:r>
              <w:rPr>
                <w:b/>
                <w:sz w:val="20"/>
              </w:rPr>
              <w:t>Trade Date:</w:t>
            </w:r>
          </w:p>
        </w:tc>
        <w:tc>
          <w:tcPr>
            <w:tcW w:w="60" w:type="dxa"/>
            <w:tcBorders/>
            <w:vAlign w:val="center"/>
          </w:tcPr>
          <w:p>
            <w:pPr>
              <w:pStyle w:val="TableContents"/>
              <w:bidi w:val="0"/>
              <w:spacing w:before="0" w:after="283"/>
              <w:jc w:val="left"/>
              <w:rPr/>
            </w:pPr>
            <w:r>
              <w:rPr/>
              <w:t> </w:t>
            </w:r>
          </w:p>
        </w:tc>
        <w:tc>
          <w:tcPr>
            <w:tcW w:w="7636" w:type="dxa"/>
            <w:tcBorders/>
            <w:vAlign w:val="center"/>
          </w:tcPr>
          <w:p>
            <w:pPr>
              <w:pStyle w:val="TableContents"/>
              <w:bidi w:val="0"/>
              <w:spacing w:before="0" w:after="283"/>
              <w:jc w:val="left"/>
              <w:rPr>
                <w:sz w:val="20"/>
              </w:rPr>
            </w:pPr>
            <w:r>
              <w:rPr>
                <w:sz w:val="20"/>
              </w:rPr>
              <w:t>February 24, 2026</w:t>
            </w:r>
          </w:p>
        </w:tc>
      </w:tr>
      <w:tr>
        <w:trPr/>
        <w:tc>
          <w:tcPr>
            <w:tcW w:w="2509" w:type="dxa"/>
            <w:tcBorders/>
            <w:vAlign w:val="center"/>
          </w:tcPr>
          <w:p>
            <w:pPr>
              <w:pStyle w:val="TableContents"/>
              <w:bidi w:val="0"/>
              <w:spacing w:before="0" w:after="283"/>
              <w:jc w:val="left"/>
              <w:rPr>
                <w:b/>
                <w:sz w:val="20"/>
              </w:rPr>
            </w:pPr>
            <w:r>
              <w:rPr>
                <w:b/>
                <w:sz w:val="20"/>
              </w:rPr>
              <w:t>Settlement Date*:</w:t>
            </w:r>
          </w:p>
        </w:tc>
        <w:tc>
          <w:tcPr>
            <w:tcW w:w="60" w:type="dxa"/>
            <w:tcBorders/>
            <w:vAlign w:val="center"/>
          </w:tcPr>
          <w:p>
            <w:pPr>
              <w:pStyle w:val="TableContents"/>
              <w:bidi w:val="0"/>
              <w:spacing w:before="0" w:after="283"/>
              <w:jc w:val="left"/>
              <w:rPr/>
            </w:pPr>
            <w:r>
              <w:rPr/>
              <w:t> </w:t>
            </w:r>
          </w:p>
        </w:tc>
        <w:tc>
          <w:tcPr>
            <w:tcW w:w="7636" w:type="dxa"/>
            <w:tcBorders/>
            <w:vAlign w:val="center"/>
          </w:tcPr>
          <w:p>
            <w:pPr>
              <w:pStyle w:val="TableContents"/>
              <w:bidi w:val="0"/>
              <w:spacing w:before="0" w:after="283"/>
              <w:jc w:val="left"/>
              <w:rPr>
                <w:sz w:val="20"/>
              </w:rPr>
            </w:pPr>
            <w:r>
              <w:rPr>
                <w:sz w:val="20"/>
              </w:rPr>
              <w:t>March 4, 2026 (T+6)</w:t>
            </w:r>
          </w:p>
        </w:tc>
      </w:tr>
      <w:tr>
        <w:trPr/>
        <w:tc>
          <w:tcPr>
            <w:tcW w:w="2509" w:type="dxa"/>
            <w:tcBorders/>
            <w:vAlign w:val="center"/>
          </w:tcPr>
          <w:p>
            <w:pPr>
              <w:pStyle w:val="TableContents"/>
              <w:bidi w:val="0"/>
              <w:spacing w:before="0" w:after="283"/>
              <w:jc w:val="left"/>
              <w:rPr>
                <w:b/>
                <w:sz w:val="20"/>
              </w:rPr>
            </w:pPr>
            <w:r>
              <w:rPr>
                <w:b/>
                <w:sz w:val="20"/>
              </w:rPr>
              <w:t>Ratings**:</w:t>
            </w:r>
          </w:p>
        </w:tc>
        <w:tc>
          <w:tcPr>
            <w:tcW w:w="60" w:type="dxa"/>
            <w:tcBorders/>
            <w:vAlign w:val="center"/>
          </w:tcPr>
          <w:p>
            <w:pPr>
              <w:pStyle w:val="TableContents"/>
              <w:bidi w:val="0"/>
              <w:spacing w:before="0" w:after="283"/>
              <w:jc w:val="left"/>
              <w:rPr/>
            </w:pPr>
            <w:r>
              <w:rPr/>
              <w:t> </w:t>
            </w:r>
          </w:p>
        </w:tc>
        <w:tc>
          <w:tcPr>
            <w:tcW w:w="7636" w:type="dxa"/>
            <w:tcBorders/>
            <w:vAlign w:val="center"/>
          </w:tcPr>
          <w:p>
            <w:pPr>
              <w:pStyle w:val="TableContents"/>
              <w:bidi w:val="0"/>
              <w:spacing w:before="0" w:after="283"/>
              <w:jc w:val="left"/>
              <w:rPr>
                <w:sz w:val="20"/>
              </w:rPr>
            </w:pPr>
            <w:r>
              <w:rPr>
                <w:sz w:val="20"/>
              </w:rPr>
              <w:t>A2 (Stable) by Moody’s Investors Service, Inc. / A- (Stable) by Standard &amp; Poor’s Ratings Group Inc.</w:t>
            </w:r>
          </w:p>
        </w:tc>
      </w:tr>
      <w:tr>
        <w:trPr/>
        <w:tc>
          <w:tcPr>
            <w:tcW w:w="2509" w:type="dxa"/>
            <w:tcBorders/>
            <w:vAlign w:val="center"/>
          </w:tcPr>
          <w:p>
            <w:pPr>
              <w:pStyle w:val="TableContents"/>
              <w:bidi w:val="0"/>
              <w:spacing w:before="0" w:after="283"/>
              <w:jc w:val="left"/>
              <w:rPr>
                <w:b/>
                <w:sz w:val="20"/>
              </w:rPr>
            </w:pPr>
            <w:r>
              <w:rPr>
                <w:b/>
                <w:sz w:val="20"/>
              </w:rPr>
              <w:t>Form of Offering:</w:t>
            </w:r>
          </w:p>
        </w:tc>
        <w:tc>
          <w:tcPr>
            <w:tcW w:w="60" w:type="dxa"/>
            <w:tcBorders/>
            <w:vAlign w:val="center"/>
          </w:tcPr>
          <w:p>
            <w:pPr>
              <w:pStyle w:val="TableContents"/>
              <w:bidi w:val="0"/>
              <w:spacing w:before="0" w:after="283"/>
              <w:jc w:val="left"/>
              <w:rPr/>
            </w:pPr>
            <w:r>
              <w:rPr/>
              <w:t> </w:t>
            </w:r>
          </w:p>
        </w:tc>
        <w:tc>
          <w:tcPr>
            <w:tcW w:w="7636" w:type="dxa"/>
            <w:tcBorders/>
            <w:vAlign w:val="center"/>
          </w:tcPr>
          <w:p>
            <w:pPr>
              <w:pStyle w:val="TableContents"/>
              <w:bidi w:val="0"/>
              <w:spacing w:before="0" w:after="283"/>
              <w:jc w:val="left"/>
              <w:rPr>
                <w:sz w:val="20"/>
              </w:rPr>
            </w:pPr>
            <w:r>
              <w:rPr>
                <w:sz w:val="20"/>
              </w:rPr>
              <w:t>SEC Registered (Registration No. 333-284980)</w:t>
            </w:r>
          </w:p>
        </w:tc>
      </w:tr>
      <w:tr>
        <w:trPr/>
        <w:tc>
          <w:tcPr>
            <w:tcW w:w="2509" w:type="dxa"/>
            <w:tcBorders/>
            <w:vAlign w:val="center"/>
          </w:tcPr>
          <w:p>
            <w:pPr>
              <w:pStyle w:val="TableContents"/>
              <w:bidi w:val="0"/>
              <w:spacing w:before="0" w:after="283"/>
              <w:jc w:val="left"/>
              <w:rPr>
                <w:b/>
                <w:sz w:val="20"/>
              </w:rPr>
            </w:pPr>
            <w:r>
              <w:rPr>
                <w:b/>
                <w:sz w:val="20"/>
              </w:rPr>
              <w:t>Joint Book-Running Managers:</w:t>
            </w:r>
          </w:p>
        </w:tc>
        <w:tc>
          <w:tcPr>
            <w:tcW w:w="60" w:type="dxa"/>
            <w:tcBorders/>
            <w:vAlign w:val="center"/>
          </w:tcPr>
          <w:p>
            <w:pPr>
              <w:pStyle w:val="TableContents"/>
              <w:bidi w:val="0"/>
              <w:spacing w:before="0" w:after="283"/>
              <w:jc w:val="left"/>
              <w:rPr/>
            </w:pPr>
            <w:r>
              <w:rPr/>
              <w:t> </w:t>
            </w:r>
          </w:p>
        </w:tc>
        <w:tc>
          <w:tcPr>
            <w:tcW w:w="76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w:t>
            </w:r>
            <w:r>
              <w:rPr>
                <w:rFonts w:ascii="Times New Roman;Times;Serif" w:hAnsi="Times New Roman;Times;Serif"/>
                <w:b w:val="false"/>
                <w:i/>
                <w:caps w:val="false"/>
                <w:smallCaps w:val="false"/>
                <w:sz w:val="20"/>
              </w:rPr>
              <w:t>2036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 (</w:t>
            </w:r>
            <w:r>
              <w:rPr>
                <w:rFonts w:ascii="Times New Roman;Times;Serif" w:hAnsi="Times New Roman;Times;Serif"/>
                <w:b w:val="false"/>
                <w:i/>
                <w:caps w:val="false"/>
                <w:smallCaps w:val="false"/>
                <w:sz w:val="20"/>
              </w:rPr>
              <w:t>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 (</w:t>
            </w:r>
            <w:r>
              <w:rPr>
                <w:rFonts w:ascii="Times New Roman;Times;Serif" w:hAnsi="Times New Roman;Times;Serif"/>
                <w:b w:val="false"/>
                <w:i/>
                <w:caps w:val="false"/>
                <w:smallCaps w:val="false"/>
                <w:sz w:val="20"/>
              </w:rPr>
              <w:t>Floating Rate Notes and 2028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 (</w:t>
            </w:r>
            <w:r>
              <w:rPr>
                <w:rFonts w:ascii="Times New Roman;Times;Serif" w:hAnsi="Times New Roman;Times;Serif"/>
                <w:b w:val="false"/>
                <w:i/>
                <w:caps w:val="false"/>
                <w:smallCaps w:val="false"/>
                <w:sz w:val="20"/>
              </w:rPr>
              <w:t>2031 Notes and 2033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w:t>
            </w:r>
            <w:r>
              <w:rPr>
                <w:rFonts w:ascii="Times New Roman;Times;Serif" w:hAnsi="Times New Roman;Times;Serif"/>
                <w:b w:val="false"/>
                <w:i/>
                <w:caps w:val="false"/>
                <w:smallCaps w:val="false"/>
                <w:sz w:val="20"/>
              </w:rPr>
              <w:t>Floating Rate Notes and 2028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Securities (USA) Inc. (</w:t>
            </w:r>
            <w:r>
              <w:rPr>
                <w:rFonts w:ascii="Times New Roman;Times;Serif" w:hAnsi="Times New Roman;Times;Serif"/>
                <w:b w:val="false"/>
                <w:i/>
                <w:caps w:val="false"/>
                <w:smallCaps w:val="false"/>
                <w:sz w:val="20"/>
              </w:rPr>
              <w:t>2031 Notes and 2033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 (</w:t>
            </w:r>
            <w:r>
              <w:rPr>
                <w:rFonts w:ascii="Times New Roman;Times;Serif" w:hAnsi="Times New Roman;Times;Serif"/>
                <w:b w:val="false"/>
                <w:i/>
                <w:caps w:val="false"/>
                <w:smallCaps w:val="false"/>
                <w:sz w:val="20"/>
              </w:rPr>
              <w:t>2033 Notes and 2036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 (</w:t>
            </w:r>
            <w:r>
              <w:rPr>
                <w:rFonts w:ascii="Times New Roman;Times;Serif" w:hAnsi="Times New Roman;Times;Serif"/>
                <w:b w:val="false"/>
                <w:i/>
                <w:caps w:val="false"/>
                <w:smallCaps w:val="false"/>
                <w:sz w:val="20"/>
              </w:rPr>
              <w:t>2056 Notes and 2066 Notes</w:t>
            </w:r>
            <w:r>
              <w:rPr>
                <w:rFonts w:ascii="Times New Roman;Times;Serif" w:hAnsi="Times New Roman;Times;Serif"/>
                <w:b w:val="false"/>
                <w:i w:val="false"/>
                <w:caps w:val="false"/>
                <w:smallCaps w:val="false"/>
                <w:sz w:val="20"/>
              </w:rPr>
              <w:t>) </w:t>
            </w:r>
          </w:p>
        </w:tc>
      </w:tr>
      <w:tr>
        <w:trPr/>
        <w:tc>
          <w:tcPr>
            <w:tcW w:w="2509" w:type="dxa"/>
            <w:tcBorders/>
            <w:vAlign w:val="center"/>
          </w:tcPr>
          <w:p>
            <w:pPr>
              <w:pStyle w:val="TableContents"/>
              <w:bidi w:val="0"/>
              <w:spacing w:before="0" w:after="283"/>
              <w:jc w:val="left"/>
              <w:rPr>
                <w:b/>
                <w:sz w:val="20"/>
              </w:rPr>
            </w:pPr>
            <w:r>
              <w:rPr>
                <w:b/>
                <w:sz w:val="20"/>
              </w:rPr>
              <w:t>Co-Managers:</w:t>
            </w:r>
          </w:p>
        </w:tc>
        <w:tc>
          <w:tcPr>
            <w:tcW w:w="60" w:type="dxa"/>
            <w:tcBorders/>
            <w:vAlign w:val="center"/>
          </w:tcPr>
          <w:p>
            <w:pPr>
              <w:pStyle w:val="TableContents"/>
              <w:bidi w:val="0"/>
              <w:spacing w:before="0" w:after="283"/>
              <w:jc w:val="left"/>
              <w:rPr/>
            </w:pPr>
            <w:r>
              <w:rPr/>
              <w:t> </w:t>
            </w:r>
          </w:p>
        </w:tc>
        <w:tc>
          <w:tcPr>
            <w:tcW w:w="76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w:t>
            </w:r>
            <w:r>
              <w:rPr>
                <w:rFonts w:ascii="Times New Roman;Times;Serif" w:hAnsi="Times New Roman;Times;Serif"/>
                <w:b w:val="false"/>
                <w:i/>
                <w:caps w:val="false"/>
                <w:smallCaps w:val="false"/>
                <w:sz w:val="20"/>
              </w:rPr>
              <w:t>Floating Rate Notes, 2028 Notes, 2031 Notes, 2033 Notes and 2056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 (</w:t>
            </w:r>
            <w:r>
              <w:rPr>
                <w:rFonts w:ascii="Times New Roman;Times;Serif" w:hAnsi="Times New Roman;Times;Serif"/>
                <w:b w:val="false"/>
                <w:i/>
                <w:caps w:val="false"/>
                <w:smallCaps w:val="false"/>
                <w:sz w:val="20"/>
              </w:rPr>
              <w:t>Floating Rate Notes, 2028 Notes, 2031 Notes, 2033 Notes and 2036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 (</w:t>
            </w:r>
            <w:r>
              <w:rPr>
                <w:rFonts w:ascii="Times New Roman;Times;Serif" w:hAnsi="Times New Roman;Times;Serif"/>
                <w:b w:val="false"/>
                <w:i/>
                <w:caps w:val="false"/>
                <w:smallCaps w:val="false"/>
                <w:sz w:val="20"/>
              </w:rPr>
              <w:t>2031 Notes, 2033 Notes, 2036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 (</w:t>
            </w:r>
            <w:r>
              <w:rPr>
                <w:rFonts w:ascii="Times New Roman;Times;Serif" w:hAnsi="Times New Roman;Times;Serif"/>
                <w:b w:val="false"/>
                <w:i/>
                <w:caps w:val="false"/>
                <w:smallCaps w:val="false"/>
                <w:sz w:val="20"/>
              </w:rPr>
              <w:t>Floating Rate Notes, 2028 Notes, 2036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w:t>
            </w:r>
            <w:r>
              <w:rPr>
                <w:rFonts w:ascii="Times New Roman;Times;Serif" w:hAnsi="Times New Roman;Times;Serif"/>
                <w:b w:val="false"/>
                <w:i/>
                <w:caps w:val="false"/>
                <w:smallCaps w:val="false"/>
                <w:sz w:val="20"/>
              </w:rPr>
              <w:t>2031 Notes, 2033 Notes, 2036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Securities (USA) Inc. (</w:t>
            </w:r>
            <w:r>
              <w:rPr>
                <w:rFonts w:ascii="Times New Roman;Times;Serif" w:hAnsi="Times New Roman;Times;Serif"/>
                <w:b w:val="false"/>
                <w:i/>
                <w:caps w:val="false"/>
                <w:smallCaps w:val="false"/>
                <w:sz w:val="20"/>
              </w:rPr>
              <w:t>Floating Rate Notes, 2028 Notes, 2036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 (</w:t>
            </w:r>
            <w:r>
              <w:rPr>
                <w:rFonts w:ascii="Times New Roman;Times;Serif" w:hAnsi="Times New Roman;Times;Serif"/>
                <w:b w:val="false"/>
                <w:i/>
                <w:caps w:val="false"/>
                <w:smallCaps w:val="false"/>
                <w:sz w:val="20"/>
              </w:rPr>
              <w:t>Floating Rate Notes, 2028 Notes, 2031 Notes, 2056 Notes and 2066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 (</w:t>
            </w:r>
            <w:r>
              <w:rPr>
                <w:rFonts w:ascii="Times New Roman;Times;Serif" w:hAnsi="Times New Roman;Times;Serif"/>
                <w:b w:val="false"/>
                <w:i/>
                <w:caps w:val="false"/>
                <w:smallCaps w:val="false"/>
                <w:sz w:val="20"/>
              </w:rPr>
              <w:t>Floating Rate Notes, 2028 Notes, 2031 Notes, 2033 Notes and 2036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Lloyds Securities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Siebert Williams Shank &amp; Co.,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Blaylock Van,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Drexel Hamilton, LLC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Mischler Financial Group,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Roberts &amp; Ryan,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Samuel A. Ramirez &amp; Company, Inc. (</w:t>
            </w:r>
            <w:r>
              <w:rPr>
                <w:rFonts w:ascii="Times New Roman;Times;Serif" w:hAnsi="Times New Roman;Times;Serif"/>
                <w:b w:val="false"/>
                <w:i/>
                <w:caps w:val="false"/>
                <w:smallCaps w:val="false"/>
                <w:sz w:val="20"/>
              </w:rPr>
              <w:t>All Notes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Senior Floating Rate Notes due 2028</w:t>
      </w:r>
    </w:p>
    <w:p>
      <w:pPr>
        <w:pStyle w:val="TextBody"/>
        <w:bidi w:val="0"/>
        <w:spacing w:before="0" w:after="0"/>
        <w:ind w:left="0" w:right="0" w:hanging="0"/>
        <w:jc w:val="center"/>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540"/>
        <w:gridCol w:w="60"/>
        <w:gridCol w:w="5990"/>
      </w:tblGrid>
      <w:tr>
        <w:trPr/>
        <w:tc>
          <w:tcPr>
            <w:tcW w:w="2540" w:type="dxa"/>
            <w:tcBorders/>
            <w:vAlign w:val="center"/>
          </w:tcPr>
          <w:p>
            <w:pPr>
              <w:pStyle w:val="TableContents"/>
              <w:bidi w:val="0"/>
              <w:spacing w:before="0" w:after="283"/>
              <w:jc w:val="left"/>
              <w:rPr>
                <w:b/>
                <w:sz w:val="20"/>
              </w:rPr>
            </w:pPr>
            <w:r>
              <w:rPr>
                <w:b/>
                <w:sz w:val="20"/>
              </w:rPr>
              <w:t>Aggregate Principal Amount: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$750,000,000</w:t>
            </w:r>
          </w:p>
        </w:tc>
      </w:tr>
      <w:tr>
        <w:trPr/>
        <w:tc>
          <w:tcPr>
            <w:tcW w:w="2540" w:type="dxa"/>
            <w:tcBorders/>
            <w:vAlign w:val="center"/>
          </w:tcPr>
          <w:p>
            <w:pPr>
              <w:pStyle w:val="TableContents"/>
              <w:bidi w:val="0"/>
              <w:spacing w:before="0" w:after="283"/>
              <w:jc w:val="left"/>
              <w:rPr>
                <w:b/>
                <w:sz w:val="20"/>
              </w:rPr>
            </w:pPr>
            <w:r>
              <w:rPr>
                <w:b/>
                <w:sz w:val="20"/>
              </w:rPr>
              <w:t>Final Maturity Date:</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March 3, 2028</w:t>
            </w:r>
          </w:p>
        </w:tc>
      </w:tr>
      <w:tr>
        <w:trPr/>
        <w:tc>
          <w:tcPr>
            <w:tcW w:w="2540" w:type="dxa"/>
            <w:tcBorders/>
            <w:vAlign w:val="center"/>
          </w:tcPr>
          <w:p>
            <w:pPr>
              <w:pStyle w:val="TableContents"/>
              <w:bidi w:val="0"/>
              <w:spacing w:before="0" w:after="283"/>
              <w:jc w:val="left"/>
              <w:rPr>
                <w:b/>
                <w:sz w:val="20"/>
              </w:rPr>
            </w:pPr>
            <w:r>
              <w:rPr>
                <w:b/>
                <w:sz w:val="20"/>
              </w:rPr>
              <w:t>Public Offering Price:</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100.000%, plus accrued and unpaid interest, if any, from March 4, 2026</w:t>
            </w:r>
          </w:p>
        </w:tc>
      </w:tr>
      <w:tr>
        <w:trPr/>
        <w:tc>
          <w:tcPr>
            <w:tcW w:w="2540" w:type="dxa"/>
            <w:tcBorders/>
            <w:vAlign w:val="center"/>
          </w:tcPr>
          <w:p>
            <w:pPr>
              <w:pStyle w:val="TableContents"/>
              <w:bidi w:val="0"/>
              <w:spacing w:before="0" w:after="283"/>
              <w:jc w:val="left"/>
              <w:rPr>
                <w:b/>
                <w:sz w:val="20"/>
              </w:rPr>
            </w:pPr>
            <w:r>
              <w:rPr>
                <w:b/>
                <w:sz w:val="20"/>
              </w:rPr>
              <w:t>Coupon:</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Compounded SOFR+ 48 bps, accruing from and including March 4, 2026</w:t>
            </w:r>
          </w:p>
        </w:tc>
      </w:tr>
      <w:tr>
        <w:trPr/>
        <w:tc>
          <w:tcPr>
            <w:tcW w:w="2540"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March 3, June 3, September 3 and December 3, commencing June 3, 2026</w:t>
            </w:r>
          </w:p>
        </w:tc>
      </w:tr>
      <w:tr>
        <w:trPr/>
        <w:tc>
          <w:tcPr>
            <w:tcW w:w="2540" w:type="dxa"/>
            <w:tcBorders/>
            <w:vAlign w:val="center"/>
          </w:tcPr>
          <w:p>
            <w:pPr>
              <w:pStyle w:val="TableContents"/>
              <w:bidi w:val="0"/>
              <w:spacing w:before="0" w:after="283"/>
              <w:jc w:val="left"/>
              <w:rPr>
                <w:b/>
                <w:sz w:val="20"/>
              </w:rPr>
            </w:pPr>
            <w:r>
              <w:rPr>
                <w:b/>
                <w:sz w:val="20"/>
              </w:rPr>
              <w:t>Day Count Convention:</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Actual / 360</w:t>
            </w:r>
          </w:p>
        </w:tc>
      </w:tr>
      <w:tr>
        <w:trPr/>
        <w:tc>
          <w:tcPr>
            <w:tcW w:w="2540" w:type="dxa"/>
            <w:tcBorders/>
            <w:vAlign w:val="center"/>
          </w:tcPr>
          <w:p>
            <w:pPr>
              <w:pStyle w:val="TableContents"/>
              <w:bidi w:val="0"/>
              <w:spacing w:before="0" w:after="283"/>
              <w:jc w:val="left"/>
              <w:rPr>
                <w:b/>
                <w:sz w:val="20"/>
              </w:rPr>
            </w:pPr>
            <w:r>
              <w:rPr>
                <w:b/>
                <w:sz w:val="20"/>
              </w:rPr>
              <w:t>Make-Whole Call:</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Not Applicable</w:t>
            </w:r>
          </w:p>
        </w:tc>
      </w:tr>
      <w:tr>
        <w:trPr/>
        <w:tc>
          <w:tcPr>
            <w:tcW w:w="2540" w:type="dxa"/>
            <w:tcBorders/>
            <w:vAlign w:val="center"/>
          </w:tcPr>
          <w:p>
            <w:pPr>
              <w:pStyle w:val="TableContents"/>
              <w:bidi w:val="0"/>
              <w:spacing w:before="0" w:after="283"/>
              <w:jc w:val="left"/>
              <w:rPr>
                <w:b/>
                <w:sz w:val="20"/>
              </w:rPr>
            </w:pPr>
            <w:r>
              <w:rPr>
                <w:b/>
                <w:sz w:val="20"/>
              </w:rPr>
              <w:t>Par Call:</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Not Applicable</w:t>
            </w:r>
          </w:p>
        </w:tc>
      </w:tr>
      <w:tr>
        <w:trPr/>
        <w:tc>
          <w:tcPr>
            <w:tcW w:w="2540"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 xml:space="preserve">00287Y EC9 / US00287YEC93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3.775% Senior Notes due 2028</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3275"/>
        <w:gridCol w:w="60"/>
        <w:gridCol w:w="5735"/>
      </w:tblGrid>
      <w:tr>
        <w:trPr/>
        <w:tc>
          <w:tcPr>
            <w:tcW w:w="3275" w:type="dxa"/>
            <w:tcBorders/>
            <w:vAlign w:val="center"/>
          </w:tcPr>
          <w:p>
            <w:pPr>
              <w:pStyle w:val="TableContents"/>
              <w:bidi w:val="0"/>
              <w:spacing w:before="0" w:after="283"/>
              <w:jc w:val="left"/>
              <w:rPr>
                <w:b/>
                <w:sz w:val="20"/>
              </w:rPr>
            </w:pPr>
            <w:r>
              <w:rPr>
                <w:b/>
                <w:sz w:val="20"/>
              </w:rPr>
              <w:t>Aggregate Principal Amount: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$1,500,000,000</w:t>
            </w:r>
          </w:p>
        </w:tc>
      </w:tr>
      <w:tr>
        <w:trPr/>
        <w:tc>
          <w:tcPr>
            <w:tcW w:w="3275" w:type="dxa"/>
            <w:tcBorders/>
            <w:vAlign w:val="center"/>
          </w:tcPr>
          <w:p>
            <w:pPr>
              <w:pStyle w:val="TableContents"/>
              <w:bidi w:val="0"/>
              <w:spacing w:before="0" w:after="283"/>
              <w:jc w:val="left"/>
              <w:rPr>
                <w:b/>
                <w:sz w:val="20"/>
              </w:rPr>
            </w:pPr>
            <w:r>
              <w:rPr>
                <w:b/>
                <w:sz w:val="20"/>
              </w:rPr>
              <w:t>Final Maturity Date: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3, 2028</w:t>
            </w:r>
          </w:p>
        </w:tc>
      </w:tr>
      <w:tr>
        <w:trPr/>
        <w:tc>
          <w:tcPr>
            <w:tcW w:w="3275" w:type="dxa"/>
            <w:tcBorders/>
            <w:vAlign w:val="center"/>
          </w:tcPr>
          <w:p>
            <w:pPr>
              <w:pStyle w:val="TableContents"/>
              <w:bidi w:val="0"/>
              <w:spacing w:before="0" w:after="283"/>
              <w:jc w:val="left"/>
              <w:rPr>
                <w:b/>
                <w:sz w:val="20"/>
              </w:rPr>
            </w:pPr>
            <w:r>
              <w:rPr>
                <w:b/>
                <w:sz w:val="20"/>
              </w:rPr>
              <w:t>Public Offering Price: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99.966%, plus accrued and unpaid interest, if any, from March 4, 2026</w:t>
            </w:r>
          </w:p>
        </w:tc>
      </w:tr>
      <w:tr>
        <w:trPr/>
        <w:tc>
          <w:tcPr>
            <w:tcW w:w="3275" w:type="dxa"/>
            <w:tcBorders/>
            <w:vAlign w:val="center"/>
          </w:tcPr>
          <w:p>
            <w:pPr>
              <w:pStyle w:val="TableContents"/>
              <w:bidi w:val="0"/>
              <w:spacing w:before="0" w:after="283"/>
              <w:jc w:val="left"/>
              <w:rPr>
                <w:b/>
                <w:sz w:val="20"/>
              </w:rPr>
            </w:pPr>
            <w:r>
              <w:rPr>
                <w:b/>
                <w:sz w:val="20"/>
              </w:rPr>
              <w:t>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3.500% due January 31, 2028</w:t>
            </w:r>
          </w:p>
        </w:tc>
      </w:tr>
      <w:tr>
        <w:trPr/>
        <w:tc>
          <w:tcPr>
            <w:tcW w:w="3275" w:type="dxa"/>
            <w:tcBorders/>
            <w:vAlign w:val="center"/>
          </w:tcPr>
          <w:p>
            <w:pPr>
              <w:pStyle w:val="TableContents"/>
              <w:bidi w:val="0"/>
              <w:spacing w:before="0" w:after="283"/>
              <w:jc w:val="left"/>
              <w:rPr>
                <w:b/>
                <w:sz w:val="20"/>
              </w:rPr>
            </w:pPr>
            <w:r>
              <w:rPr>
                <w:b/>
                <w:sz w:val="20"/>
              </w:rPr>
              <w:t>Benchmark Treasury Price and Yield:</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100-02 &amp;frac18; / 3.463%</w:t>
            </w:r>
          </w:p>
        </w:tc>
      </w:tr>
      <w:tr>
        <w:trPr/>
        <w:tc>
          <w:tcPr>
            <w:tcW w:w="3275" w:type="dxa"/>
            <w:tcBorders/>
            <w:vAlign w:val="center"/>
          </w:tcPr>
          <w:p>
            <w:pPr>
              <w:pStyle w:val="TableContents"/>
              <w:bidi w:val="0"/>
              <w:spacing w:before="0" w:after="283"/>
              <w:jc w:val="left"/>
              <w:rPr>
                <w:b/>
                <w:sz w:val="20"/>
              </w:rPr>
            </w:pPr>
            <w:r>
              <w:rPr>
                <w:b/>
                <w:sz w:val="20"/>
              </w:rPr>
              <w:t>Spread to 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T+33 bps</w:t>
            </w:r>
          </w:p>
        </w:tc>
      </w:tr>
      <w:tr>
        <w:trPr/>
        <w:tc>
          <w:tcPr>
            <w:tcW w:w="3275" w:type="dxa"/>
            <w:tcBorders/>
            <w:vAlign w:val="center"/>
          </w:tcPr>
          <w:p>
            <w:pPr>
              <w:pStyle w:val="TableContents"/>
              <w:bidi w:val="0"/>
              <w:spacing w:before="0" w:after="283"/>
              <w:jc w:val="left"/>
              <w:rPr>
                <w:b/>
                <w:sz w:val="20"/>
              </w:rPr>
            </w:pPr>
            <w:r>
              <w:rPr>
                <w:b/>
                <w:sz w:val="20"/>
              </w:rPr>
              <w:t>Coupon: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3.775%</w:t>
            </w:r>
          </w:p>
        </w:tc>
      </w:tr>
      <w:tr>
        <w:trPr/>
        <w:tc>
          <w:tcPr>
            <w:tcW w:w="3275"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3 and September 3, commencing September 3, 2026</w:t>
            </w:r>
          </w:p>
        </w:tc>
      </w:tr>
      <w:tr>
        <w:trPr/>
        <w:tc>
          <w:tcPr>
            <w:tcW w:w="3275" w:type="dxa"/>
            <w:tcBorders/>
            <w:vAlign w:val="center"/>
          </w:tcPr>
          <w:p>
            <w:pPr>
              <w:pStyle w:val="TableContents"/>
              <w:bidi w:val="0"/>
              <w:spacing w:before="0" w:after="283"/>
              <w:jc w:val="left"/>
              <w:rPr>
                <w:b/>
                <w:sz w:val="20"/>
              </w:rPr>
            </w:pPr>
            <w:r>
              <w:rPr>
                <w:b/>
                <w:sz w:val="20"/>
              </w:rPr>
              <w:t>Day Count Convention: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30 / 360</w:t>
            </w:r>
          </w:p>
        </w:tc>
      </w:tr>
      <w:tr>
        <w:trPr/>
        <w:tc>
          <w:tcPr>
            <w:tcW w:w="3275" w:type="dxa"/>
            <w:tcBorders/>
            <w:vAlign w:val="center"/>
          </w:tcPr>
          <w:p>
            <w:pPr>
              <w:pStyle w:val="TableContents"/>
              <w:bidi w:val="0"/>
              <w:spacing w:before="0" w:after="283"/>
              <w:jc w:val="left"/>
              <w:rPr>
                <w:b/>
                <w:sz w:val="20"/>
              </w:rPr>
            </w:pPr>
            <w:r>
              <w:rPr>
                <w:b/>
                <w:sz w:val="20"/>
              </w:rPr>
              <w:t>Yield to Maturity: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3.793%</w:t>
            </w:r>
          </w:p>
        </w:tc>
      </w:tr>
      <w:tr>
        <w:trPr/>
        <w:tc>
          <w:tcPr>
            <w:tcW w:w="3275" w:type="dxa"/>
            <w:tcBorders/>
            <w:vAlign w:val="center"/>
          </w:tcPr>
          <w:p>
            <w:pPr>
              <w:pStyle w:val="TableContents"/>
              <w:bidi w:val="0"/>
              <w:spacing w:before="0" w:after="283"/>
              <w:jc w:val="left"/>
              <w:rPr>
                <w:b/>
                <w:sz w:val="20"/>
              </w:rPr>
            </w:pPr>
            <w:r>
              <w:rPr>
                <w:b/>
                <w:sz w:val="20"/>
              </w:rPr>
              <w:t>Make-Whole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Make-whole call at T+5 bps</w:t>
            </w:r>
          </w:p>
        </w:tc>
      </w:tr>
      <w:tr>
        <w:trPr/>
        <w:tc>
          <w:tcPr>
            <w:tcW w:w="3275" w:type="dxa"/>
            <w:tcBorders/>
            <w:vAlign w:val="center"/>
          </w:tcPr>
          <w:p>
            <w:pPr>
              <w:pStyle w:val="TableContents"/>
              <w:bidi w:val="0"/>
              <w:spacing w:before="0" w:after="283"/>
              <w:jc w:val="left"/>
              <w:rPr>
                <w:b/>
                <w:sz w:val="20"/>
              </w:rPr>
            </w:pPr>
            <w:r>
              <w:rPr>
                <w:b/>
                <w:sz w:val="20"/>
              </w:rPr>
              <w:t>Par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Not Applicable</w:t>
            </w:r>
          </w:p>
        </w:tc>
      </w:tr>
      <w:tr>
        <w:trPr/>
        <w:tc>
          <w:tcPr>
            <w:tcW w:w="3275"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00287Y ED7 / US00287YED76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4.125% Senior Notes due 2031</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3275"/>
        <w:gridCol w:w="60"/>
        <w:gridCol w:w="5735"/>
      </w:tblGrid>
      <w:tr>
        <w:trPr/>
        <w:tc>
          <w:tcPr>
            <w:tcW w:w="3275" w:type="dxa"/>
            <w:tcBorders/>
            <w:vAlign w:val="center"/>
          </w:tcPr>
          <w:p>
            <w:pPr>
              <w:pStyle w:val="TableContents"/>
              <w:bidi w:val="0"/>
              <w:spacing w:before="0" w:after="283"/>
              <w:jc w:val="left"/>
              <w:rPr>
                <w:b/>
                <w:sz w:val="20"/>
              </w:rPr>
            </w:pPr>
            <w:r>
              <w:rPr>
                <w:b/>
                <w:sz w:val="20"/>
              </w:rPr>
              <w:t>Aggregate Principal Amount: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$1,250,000,000</w:t>
            </w:r>
          </w:p>
        </w:tc>
      </w:tr>
      <w:tr>
        <w:trPr/>
        <w:tc>
          <w:tcPr>
            <w:tcW w:w="3275" w:type="dxa"/>
            <w:tcBorders/>
            <w:vAlign w:val="center"/>
          </w:tcPr>
          <w:p>
            <w:pPr>
              <w:pStyle w:val="TableContents"/>
              <w:bidi w:val="0"/>
              <w:spacing w:before="0" w:after="283"/>
              <w:jc w:val="left"/>
              <w:rPr>
                <w:b/>
                <w:sz w:val="20"/>
              </w:rPr>
            </w:pPr>
            <w:r>
              <w:rPr>
                <w:b/>
                <w:sz w:val="20"/>
              </w:rPr>
              <w:t>Final Maturity Date: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2031</w:t>
            </w:r>
          </w:p>
        </w:tc>
      </w:tr>
      <w:tr>
        <w:trPr/>
        <w:tc>
          <w:tcPr>
            <w:tcW w:w="3275" w:type="dxa"/>
            <w:tcBorders/>
            <w:vAlign w:val="center"/>
          </w:tcPr>
          <w:p>
            <w:pPr>
              <w:pStyle w:val="TableContents"/>
              <w:bidi w:val="0"/>
              <w:spacing w:before="0" w:after="283"/>
              <w:jc w:val="left"/>
              <w:rPr>
                <w:b/>
                <w:sz w:val="20"/>
              </w:rPr>
            </w:pPr>
            <w:r>
              <w:rPr>
                <w:b/>
                <w:sz w:val="20"/>
              </w:rPr>
              <w:t>Public Offering Price: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99.972%, plus accrued and unpaid interest, if any, from March 4, 2026</w:t>
            </w:r>
          </w:p>
        </w:tc>
      </w:tr>
      <w:tr>
        <w:trPr/>
        <w:tc>
          <w:tcPr>
            <w:tcW w:w="3275" w:type="dxa"/>
            <w:tcBorders/>
            <w:vAlign w:val="center"/>
          </w:tcPr>
          <w:p>
            <w:pPr>
              <w:pStyle w:val="TableContents"/>
              <w:bidi w:val="0"/>
              <w:spacing w:before="0" w:after="283"/>
              <w:jc w:val="left"/>
              <w:rPr>
                <w:b/>
                <w:sz w:val="20"/>
              </w:rPr>
            </w:pPr>
            <w:r>
              <w:rPr>
                <w:b/>
                <w:sz w:val="20"/>
              </w:rPr>
              <w:t>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3.750% due January 31, 2031</w:t>
            </w:r>
          </w:p>
        </w:tc>
      </w:tr>
      <w:tr>
        <w:trPr/>
        <w:tc>
          <w:tcPr>
            <w:tcW w:w="3275" w:type="dxa"/>
            <w:tcBorders/>
            <w:vAlign w:val="center"/>
          </w:tcPr>
          <w:p>
            <w:pPr>
              <w:pStyle w:val="TableContents"/>
              <w:bidi w:val="0"/>
              <w:spacing w:before="0" w:after="283"/>
              <w:jc w:val="left"/>
              <w:rPr>
                <w:b/>
                <w:sz w:val="20"/>
              </w:rPr>
            </w:pPr>
            <w:r>
              <w:rPr>
                <w:b/>
                <w:sz w:val="20"/>
              </w:rPr>
              <w:t>Benchmark Treasury Price and Yield:</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100-21 ¼ / 3.601%</w:t>
            </w:r>
          </w:p>
        </w:tc>
      </w:tr>
      <w:tr>
        <w:trPr/>
        <w:tc>
          <w:tcPr>
            <w:tcW w:w="3275" w:type="dxa"/>
            <w:tcBorders/>
            <w:vAlign w:val="center"/>
          </w:tcPr>
          <w:p>
            <w:pPr>
              <w:pStyle w:val="TableContents"/>
              <w:bidi w:val="0"/>
              <w:spacing w:before="0" w:after="283"/>
              <w:jc w:val="left"/>
              <w:rPr>
                <w:b/>
                <w:sz w:val="20"/>
              </w:rPr>
            </w:pPr>
            <w:r>
              <w:rPr>
                <w:b/>
                <w:sz w:val="20"/>
              </w:rPr>
              <w:t>Spread to 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T+53 bps</w:t>
            </w:r>
          </w:p>
        </w:tc>
      </w:tr>
      <w:tr>
        <w:trPr/>
        <w:tc>
          <w:tcPr>
            <w:tcW w:w="3275" w:type="dxa"/>
            <w:tcBorders/>
            <w:vAlign w:val="center"/>
          </w:tcPr>
          <w:p>
            <w:pPr>
              <w:pStyle w:val="TableContents"/>
              <w:bidi w:val="0"/>
              <w:spacing w:before="0" w:after="283"/>
              <w:jc w:val="left"/>
              <w:rPr>
                <w:b/>
                <w:sz w:val="20"/>
              </w:rPr>
            </w:pPr>
            <w:r>
              <w:rPr>
                <w:b/>
                <w:sz w:val="20"/>
              </w:rPr>
              <w:t>Coupon: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4.125%</w:t>
            </w:r>
          </w:p>
        </w:tc>
      </w:tr>
      <w:tr>
        <w:trPr/>
        <w:tc>
          <w:tcPr>
            <w:tcW w:w="3275"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and September 15, commencing September 15, 2026</w:t>
            </w:r>
          </w:p>
        </w:tc>
      </w:tr>
      <w:tr>
        <w:trPr/>
        <w:tc>
          <w:tcPr>
            <w:tcW w:w="3275" w:type="dxa"/>
            <w:tcBorders/>
            <w:vAlign w:val="center"/>
          </w:tcPr>
          <w:p>
            <w:pPr>
              <w:pStyle w:val="TableContents"/>
              <w:bidi w:val="0"/>
              <w:spacing w:before="0" w:after="283"/>
              <w:jc w:val="left"/>
              <w:rPr>
                <w:b/>
                <w:sz w:val="20"/>
              </w:rPr>
            </w:pPr>
            <w:r>
              <w:rPr>
                <w:b/>
                <w:sz w:val="20"/>
              </w:rPr>
              <w:t>Day Count Convention: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30 / 360</w:t>
            </w:r>
          </w:p>
        </w:tc>
      </w:tr>
      <w:tr>
        <w:trPr/>
        <w:tc>
          <w:tcPr>
            <w:tcW w:w="3275" w:type="dxa"/>
            <w:tcBorders/>
            <w:vAlign w:val="center"/>
          </w:tcPr>
          <w:p>
            <w:pPr>
              <w:pStyle w:val="TableContents"/>
              <w:bidi w:val="0"/>
              <w:spacing w:before="0" w:after="283"/>
              <w:jc w:val="left"/>
              <w:rPr>
                <w:b/>
                <w:sz w:val="20"/>
              </w:rPr>
            </w:pPr>
            <w:r>
              <w:rPr>
                <w:b/>
                <w:sz w:val="20"/>
              </w:rPr>
              <w:t>Yield to Maturity: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4.131%</w:t>
            </w:r>
          </w:p>
        </w:tc>
      </w:tr>
      <w:tr>
        <w:trPr/>
        <w:tc>
          <w:tcPr>
            <w:tcW w:w="3275" w:type="dxa"/>
            <w:tcBorders/>
            <w:vAlign w:val="center"/>
          </w:tcPr>
          <w:p>
            <w:pPr>
              <w:pStyle w:val="TableContents"/>
              <w:bidi w:val="0"/>
              <w:spacing w:before="0" w:after="283"/>
              <w:jc w:val="left"/>
              <w:rPr>
                <w:b/>
                <w:sz w:val="20"/>
              </w:rPr>
            </w:pPr>
            <w:r>
              <w:rPr>
                <w:b/>
                <w:sz w:val="20"/>
              </w:rPr>
              <w:t>Make-Whole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Make-whole call at T+10 bps</w:t>
            </w:r>
          </w:p>
        </w:tc>
      </w:tr>
      <w:tr>
        <w:trPr/>
        <w:tc>
          <w:tcPr>
            <w:tcW w:w="3275" w:type="dxa"/>
            <w:tcBorders/>
            <w:vAlign w:val="center"/>
          </w:tcPr>
          <w:p>
            <w:pPr>
              <w:pStyle w:val="TableContents"/>
              <w:bidi w:val="0"/>
              <w:spacing w:before="0" w:after="283"/>
              <w:jc w:val="left"/>
              <w:rPr>
                <w:b/>
                <w:sz w:val="20"/>
              </w:rPr>
            </w:pPr>
            <w:r>
              <w:rPr>
                <w:b/>
                <w:sz w:val="20"/>
              </w:rPr>
              <w:t>Par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On or after February 15, 2031</w:t>
            </w:r>
          </w:p>
        </w:tc>
      </w:tr>
      <w:tr>
        <w:trPr/>
        <w:tc>
          <w:tcPr>
            <w:tcW w:w="3275"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 xml:space="preserve">00287Y EE5/ US00287YEE59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4.400% Senior Notes due 2033</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3275"/>
        <w:gridCol w:w="60"/>
        <w:gridCol w:w="5735"/>
      </w:tblGrid>
      <w:tr>
        <w:trPr/>
        <w:tc>
          <w:tcPr>
            <w:tcW w:w="3275" w:type="dxa"/>
            <w:tcBorders/>
            <w:vAlign w:val="center"/>
          </w:tcPr>
          <w:p>
            <w:pPr>
              <w:pStyle w:val="TableContents"/>
              <w:bidi w:val="0"/>
              <w:spacing w:before="0" w:after="283"/>
              <w:jc w:val="left"/>
              <w:rPr>
                <w:b/>
                <w:sz w:val="20"/>
              </w:rPr>
            </w:pPr>
            <w:r>
              <w:rPr>
                <w:b/>
                <w:sz w:val="20"/>
              </w:rPr>
              <w:t>Aggregate Principal Amount: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$1,250,000,000</w:t>
            </w:r>
          </w:p>
        </w:tc>
      </w:tr>
      <w:tr>
        <w:trPr/>
        <w:tc>
          <w:tcPr>
            <w:tcW w:w="3275" w:type="dxa"/>
            <w:tcBorders/>
            <w:vAlign w:val="center"/>
          </w:tcPr>
          <w:p>
            <w:pPr>
              <w:pStyle w:val="TableContents"/>
              <w:bidi w:val="0"/>
              <w:spacing w:before="0" w:after="283"/>
              <w:jc w:val="left"/>
              <w:rPr>
                <w:b/>
                <w:sz w:val="20"/>
              </w:rPr>
            </w:pPr>
            <w:r>
              <w:rPr>
                <w:b/>
                <w:sz w:val="20"/>
              </w:rPr>
              <w:t>Final Maturity Date: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2033</w:t>
            </w:r>
          </w:p>
        </w:tc>
      </w:tr>
      <w:tr>
        <w:trPr/>
        <w:tc>
          <w:tcPr>
            <w:tcW w:w="3275" w:type="dxa"/>
            <w:tcBorders/>
            <w:vAlign w:val="center"/>
          </w:tcPr>
          <w:p>
            <w:pPr>
              <w:pStyle w:val="TableContents"/>
              <w:bidi w:val="0"/>
              <w:spacing w:before="0" w:after="283"/>
              <w:jc w:val="left"/>
              <w:rPr>
                <w:b/>
                <w:sz w:val="20"/>
              </w:rPr>
            </w:pPr>
            <w:r>
              <w:rPr>
                <w:b/>
                <w:sz w:val="20"/>
              </w:rPr>
              <w:t>Public Offering Price: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99.861%, plus accrued and unpaid interest, if any, from March 4, 2026</w:t>
            </w:r>
          </w:p>
        </w:tc>
      </w:tr>
      <w:tr>
        <w:trPr/>
        <w:tc>
          <w:tcPr>
            <w:tcW w:w="3275" w:type="dxa"/>
            <w:tcBorders/>
            <w:vAlign w:val="center"/>
          </w:tcPr>
          <w:p>
            <w:pPr>
              <w:pStyle w:val="TableContents"/>
              <w:bidi w:val="0"/>
              <w:spacing w:before="0" w:after="283"/>
              <w:jc w:val="left"/>
              <w:rPr>
                <w:b/>
                <w:sz w:val="20"/>
              </w:rPr>
            </w:pPr>
            <w:r>
              <w:rPr>
                <w:b/>
                <w:sz w:val="20"/>
              </w:rPr>
              <w:t>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4.000% due January 31, 2033</w:t>
            </w:r>
          </w:p>
        </w:tc>
      </w:tr>
      <w:tr>
        <w:trPr/>
        <w:tc>
          <w:tcPr>
            <w:tcW w:w="3275" w:type="dxa"/>
            <w:tcBorders/>
            <w:vAlign w:val="center"/>
          </w:tcPr>
          <w:p>
            <w:pPr>
              <w:pStyle w:val="TableContents"/>
              <w:bidi w:val="0"/>
              <w:spacing w:before="0" w:after="283"/>
              <w:jc w:val="left"/>
              <w:rPr>
                <w:b/>
                <w:sz w:val="20"/>
              </w:rPr>
            </w:pPr>
            <w:r>
              <w:rPr>
                <w:b/>
                <w:sz w:val="20"/>
              </w:rPr>
              <w:t>Benchmark Treasury Price and Yield:</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101-08 / 3.793%</w:t>
            </w:r>
          </w:p>
        </w:tc>
      </w:tr>
      <w:tr>
        <w:trPr/>
        <w:tc>
          <w:tcPr>
            <w:tcW w:w="3275" w:type="dxa"/>
            <w:tcBorders/>
            <w:vAlign w:val="center"/>
          </w:tcPr>
          <w:p>
            <w:pPr>
              <w:pStyle w:val="TableContents"/>
              <w:bidi w:val="0"/>
              <w:spacing w:before="0" w:after="283"/>
              <w:jc w:val="left"/>
              <w:rPr>
                <w:b/>
                <w:sz w:val="20"/>
              </w:rPr>
            </w:pPr>
            <w:r>
              <w:rPr>
                <w:b/>
                <w:sz w:val="20"/>
              </w:rPr>
              <w:t>Spread to 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T+63 bps</w:t>
            </w:r>
          </w:p>
        </w:tc>
      </w:tr>
      <w:tr>
        <w:trPr/>
        <w:tc>
          <w:tcPr>
            <w:tcW w:w="3275" w:type="dxa"/>
            <w:tcBorders/>
            <w:vAlign w:val="center"/>
          </w:tcPr>
          <w:p>
            <w:pPr>
              <w:pStyle w:val="TableContents"/>
              <w:bidi w:val="0"/>
              <w:spacing w:before="0" w:after="283"/>
              <w:jc w:val="left"/>
              <w:rPr>
                <w:b/>
                <w:sz w:val="20"/>
              </w:rPr>
            </w:pPr>
            <w:r>
              <w:rPr>
                <w:b/>
                <w:sz w:val="20"/>
              </w:rPr>
              <w:t>Coupon: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4.400%</w:t>
            </w:r>
          </w:p>
        </w:tc>
      </w:tr>
      <w:tr>
        <w:trPr/>
        <w:tc>
          <w:tcPr>
            <w:tcW w:w="3275"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and September 15, commencing September 15, 2026</w:t>
            </w:r>
          </w:p>
        </w:tc>
      </w:tr>
      <w:tr>
        <w:trPr/>
        <w:tc>
          <w:tcPr>
            <w:tcW w:w="3275" w:type="dxa"/>
            <w:tcBorders/>
            <w:vAlign w:val="center"/>
          </w:tcPr>
          <w:p>
            <w:pPr>
              <w:pStyle w:val="TableContents"/>
              <w:bidi w:val="0"/>
              <w:spacing w:before="0" w:after="283"/>
              <w:jc w:val="left"/>
              <w:rPr>
                <w:b/>
                <w:sz w:val="20"/>
              </w:rPr>
            </w:pPr>
            <w:r>
              <w:rPr>
                <w:b/>
                <w:sz w:val="20"/>
              </w:rPr>
              <w:t>Day Count Convention: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30 / 360</w:t>
            </w:r>
          </w:p>
        </w:tc>
      </w:tr>
      <w:tr>
        <w:trPr/>
        <w:tc>
          <w:tcPr>
            <w:tcW w:w="3275" w:type="dxa"/>
            <w:tcBorders/>
            <w:vAlign w:val="center"/>
          </w:tcPr>
          <w:p>
            <w:pPr>
              <w:pStyle w:val="TableContents"/>
              <w:bidi w:val="0"/>
              <w:spacing w:before="0" w:after="283"/>
              <w:jc w:val="left"/>
              <w:rPr>
                <w:b/>
                <w:sz w:val="20"/>
              </w:rPr>
            </w:pPr>
            <w:r>
              <w:rPr>
                <w:b/>
                <w:sz w:val="20"/>
              </w:rPr>
              <w:t>Yield to Maturity: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4.423%</w:t>
            </w:r>
          </w:p>
        </w:tc>
      </w:tr>
      <w:tr>
        <w:trPr/>
        <w:tc>
          <w:tcPr>
            <w:tcW w:w="3275" w:type="dxa"/>
            <w:tcBorders/>
            <w:vAlign w:val="center"/>
          </w:tcPr>
          <w:p>
            <w:pPr>
              <w:pStyle w:val="TableContents"/>
              <w:bidi w:val="0"/>
              <w:spacing w:before="0" w:after="283"/>
              <w:jc w:val="left"/>
              <w:rPr>
                <w:b/>
                <w:sz w:val="20"/>
              </w:rPr>
            </w:pPr>
            <w:r>
              <w:rPr>
                <w:b/>
                <w:sz w:val="20"/>
              </w:rPr>
              <w:t>Make-Whole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Make-whole call at T+10 bps</w:t>
            </w:r>
          </w:p>
        </w:tc>
      </w:tr>
      <w:tr>
        <w:trPr/>
        <w:tc>
          <w:tcPr>
            <w:tcW w:w="3275" w:type="dxa"/>
            <w:tcBorders/>
            <w:vAlign w:val="center"/>
          </w:tcPr>
          <w:p>
            <w:pPr>
              <w:pStyle w:val="TableContents"/>
              <w:bidi w:val="0"/>
              <w:spacing w:before="0" w:after="283"/>
              <w:jc w:val="left"/>
              <w:rPr>
                <w:b/>
                <w:sz w:val="20"/>
              </w:rPr>
            </w:pPr>
            <w:r>
              <w:rPr>
                <w:b/>
                <w:sz w:val="20"/>
              </w:rPr>
              <w:t>Par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On or after January 15, 2033</w:t>
            </w:r>
          </w:p>
        </w:tc>
      </w:tr>
      <w:tr>
        <w:trPr/>
        <w:tc>
          <w:tcPr>
            <w:tcW w:w="3275"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 xml:space="preserve">00287Y EF2 / US00287YEF25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4.750% Senior Notes due 2036</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3275"/>
        <w:gridCol w:w="60"/>
        <w:gridCol w:w="5735"/>
      </w:tblGrid>
      <w:tr>
        <w:trPr/>
        <w:tc>
          <w:tcPr>
            <w:tcW w:w="3275" w:type="dxa"/>
            <w:tcBorders/>
            <w:vAlign w:val="center"/>
          </w:tcPr>
          <w:p>
            <w:pPr>
              <w:pStyle w:val="TableContents"/>
              <w:bidi w:val="0"/>
              <w:spacing w:before="0" w:after="283"/>
              <w:jc w:val="left"/>
              <w:rPr>
                <w:b/>
                <w:sz w:val="20"/>
              </w:rPr>
            </w:pPr>
            <w:r>
              <w:rPr>
                <w:b/>
                <w:sz w:val="20"/>
              </w:rPr>
              <w:t>Aggregate Principal Amount: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$1,500,000,000</w:t>
            </w:r>
          </w:p>
        </w:tc>
      </w:tr>
      <w:tr>
        <w:trPr/>
        <w:tc>
          <w:tcPr>
            <w:tcW w:w="3275" w:type="dxa"/>
            <w:tcBorders/>
            <w:vAlign w:val="center"/>
          </w:tcPr>
          <w:p>
            <w:pPr>
              <w:pStyle w:val="TableContents"/>
              <w:bidi w:val="0"/>
              <w:spacing w:before="0" w:after="283"/>
              <w:jc w:val="left"/>
              <w:rPr>
                <w:b/>
                <w:sz w:val="20"/>
              </w:rPr>
            </w:pPr>
            <w:r>
              <w:rPr>
                <w:b/>
                <w:sz w:val="20"/>
              </w:rPr>
              <w:t>Final Maturity Date: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2036</w:t>
            </w:r>
          </w:p>
        </w:tc>
      </w:tr>
      <w:tr>
        <w:trPr/>
        <w:tc>
          <w:tcPr>
            <w:tcW w:w="3275" w:type="dxa"/>
            <w:tcBorders/>
            <w:vAlign w:val="center"/>
          </w:tcPr>
          <w:p>
            <w:pPr>
              <w:pStyle w:val="TableContents"/>
              <w:bidi w:val="0"/>
              <w:spacing w:before="0" w:after="283"/>
              <w:jc w:val="left"/>
              <w:rPr>
                <w:b/>
                <w:sz w:val="20"/>
              </w:rPr>
            </w:pPr>
            <w:r>
              <w:rPr>
                <w:b/>
                <w:sz w:val="20"/>
              </w:rPr>
              <w:t>Public Offering Price: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99.911%, plus accrued and unpaid interest, if any, from March 4, 2026</w:t>
            </w:r>
          </w:p>
        </w:tc>
      </w:tr>
      <w:tr>
        <w:trPr/>
        <w:tc>
          <w:tcPr>
            <w:tcW w:w="3275" w:type="dxa"/>
            <w:tcBorders/>
            <w:vAlign w:val="center"/>
          </w:tcPr>
          <w:p>
            <w:pPr>
              <w:pStyle w:val="TableContents"/>
              <w:bidi w:val="0"/>
              <w:spacing w:before="0" w:after="283"/>
              <w:jc w:val="left"/>
              <w:rPr>
                <w:b/>
                <w:sz w:val="20"/>
              </w:rPr>
            </w:pPr>
            <w:r>
              <w:rPr>
                <w:b/>
                <w:sz w:val="20"/>
              </w:rPr>
              <w:t>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4.125% due February 15, 2036</w:t>
            </w:r>
          </w:p>
        </w:tc>
      </w:tr>
      <w:tr>
        <w:trPr/>
        <w:tc>
          <w:tcPr>
            <w:tcW w:w="3275" w:type="dxa"/>
            <w:tcBorders/>
            <w:vAlign w:val="center"/>
          </w:tcPr>
          <w:p>
            <w:pPr>
              <w:pStyle w:val="TableContents"/>
              <w:bidi w:val="0"/>
              <w:spacing w:before="0" w:after="283"/>
              <w:jc w:val="left"/>
              <w:rPr>
                <w:b/>
                <w:sz w:val="20"/>
              </w:rPr>
            </w:pPr>
            <w:r>
              <w:rPr>
                <w:b/>
                <w:sz w:val="20"/>
              </w:rPr>
              <w:t>Benchmark Treasury Price and Yield:</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100-24+ / 4.031%</w:t>
            </w:r>
          </w:p>
        </w:tc>
      </w:tr>
      <w:tr>
        <w:trPr/>
        <w:tc>
          <w:tcPr>
            <w:tcW w:w="3275" w:type="dxa"/>
            <w:tcBorders/>
            <w:vAlign w:val="center"/>
          </w:tcPr>
          <w:p>
            <w:pPr>
              <w:pStyle w:val="TableContents"/>
              <w:bidi w:val="0"/>
              <w:spacing w:before="0" w:after="283"/>
              <w:jc w:val="left"/>
              <w:rPr>
                <w:b/>
                <w:sz w:val="20"/>
              </w:rPr>
            </w:pPr>
            <w:r>
              <w:rPr>
                <w:b/>
                <w:sz w:val="20"/>
              </w:rPr>
              <w:t>Spread to 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T+73 bps</w:t>
            </w:r>
          </w:p>
        </w:tc>
      </w:tr>
      <w:tr>
        <w:trPr/>
        <w:tc>
          <w:tcPr>
            <w:tcW w:w="3275" w:type="dxa"/>
            <w:tcBorders/>
            <w:vAlign w:val="center"/>
          </w:tcPr>
          <w:p>
            <w:pPr>
              <w:pStyle w:val="TableContents"/>
              <w:bidi w:val="0"/>
              <w:spacing w:before="0" w:after="283"/>
              <w:jc w:val="left"/>
              <w:rPr>
                <w:b/>
                <w:sz w:val="20"/>
              </w:rPr>
            </w:pPr>
            <w:r>
              <w:rPr>
                <w:b/>
                <w:sz w:val="20"/>
              </w:rPr>
              <w:t>Coupon: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4.750%</w:t>
            </w:r>
          </w:p>
        </w:tc>
      </w:tr>
      <w:tr>
        <w:trPr/>
        <w:tc>
          <w:tcPr>
            <w:tcW w:w="3275"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and September 15, commencing September 15, 2026</w:t>
            </w:r>
          </w:p>
        </w:tc>
      </w:tr>
      <w:tr>
        <w:trPr/>
        <w:tc>
          <w:tcPr>
            <w:tcW w:w="3275" w:type="dxa"/>
            <w:tcBorders/>
            <w:vAlign w:val="center"/>
          </w:tcPr>
          <w:p>
            <w:pPr>
              <w:pStyle w:val="TableContents"/>
              <w:bidi w:val="0"/>
              <w:spacing w:before="0" w:after="283"/>
              <w:jc w:val="left"/>
              <w:rPr>
                <w:b/>
                <w:sz w:val="20"/>
              </w:rPr>
            </w:pPr>
            <w:r>
              <w:rPr>
                <w:b/>
                <w:sz w:val="20"/>
              </w:rPr>
              <w:t>Day Count Convention: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30 / 360</w:t>
            </w:r>
          </w:p>
        </w:tc>
      </w:tr>
      <w:tr>
        <w:trPr/>
        <w:tc>
          <w:tcPr>
            <w:tcW w:w="3275" w:type="dxa"/>
            <w:tcBorders/>
            <w:vAlign w:val="center"/>
          </w:tcPr>
          <w:p>
            <w:pPr>
              <w:pStyle w:val="TableContents"/>
              <w:bidi w:val="0"/>
              <w:spacing w:before="0" w:after="283"/>
              <w:jc w:val="left"/>
              <w:rPr>
                <w:b/>
                <w:sz w:val="20"/>
              </w:rPr>
            </w:pPr>
            <w:r>
              <w:rPr>
                <w:b/>
                <w:sz w:val="20"/>
              </w:rPr>
              <w:t>Yield to Maturity: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4.761%</w:t>
            </w:r>
          </w:p>
        </w:tc>
      </w:tr>
      <w:tr>
        <w:trPr/>
        <w:tc>
          <w:tcPr>
            <w:tcW w:w="3275" w:type="dxa"/>
            <w:tcBorders/>
            <w:vAlign w:val="center"/>
          </w:tcPr>
          <w:p>
            <w:pPr>
              <w:pStyle w:val="TableContents"/>
              <w:bidi w:val="0"/>
              <w:spacing w:before="0" w:after="283"/>
              <w:jc w:val="left"/>
              <w:rPr>
                <w:b/>
                <w:sz w:val="20"/>
              </w:rPr>
            </w:pPr>
            <w:r>
              <w:rPr>
                <w:b/>
                <w:sz w:val="20"/>
              </w:rPr>
              <w:t>Make-Whole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Make-whole call at T+15 bps</w:t>
            </w:r>
          </w:p>
        </w:tc>
      </w:tr>
      <w:tr>
        <w:trPr/>
        <w:tc>
          <w:tcPr>
            <w:tcW w:w="3275" w:type="dxa"/>
            <w:tcBorders/>
            <w:vAlign w:val="center"/>
          </w:tcPr>
          <w:p>
            <w:pPr>
              <w:pStyle w:val="TableContents"/>
              <w:bidi w:val="0"/>
              <w:spacing w:before="0" w:after="283"/>
              <w:jc w:val="left"/>
              <w:rPr>
                <w:b/>
                <w:sz w:val="20"/>
              </w:rPr>
            </w:pPr>
            <w:r>
              <w:rPr>
                <w:b/>
                <w:sz w:val="20"/>
              </w:rPr>
              <w:t>Par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On or after December 15, 2035</w:t>
            </w:r>
          </w:p>
        </w:tc>
      </w:tr>
      <w:tr>
        <w:trPr/>
        <w:tc>
          <w:tcPr>
            <w:tcW w:w="3275"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 xml:space="preserve">00287Y EG0 / US00287YEG08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5.550% Senior Notes due 2056</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3275"/>
        <w:gridCol w:w="60"/>
        <w:gridCol w:w="5735"/>
      </w:tblGrid>
      <w:tr>
        <w:trPr/>
        <w:tc>
          <w:tcPr>
            <w:tcW w:w="3275" w:type="dxa"/>
            <w:tcBorders/>
            <w:vAlign w:val="center"/>
          </w:tcPr>
          <w:p>
            <w:pPr>
              <w:pStyle w:val="TableContents"/>
              <w:bidi w:val="0"/>
              <w:spacing w:before="0" w:after="283"/>
              <w:jc w:val="left"/>
              <w:rPr>
                <w:b/>
                <w:sz w:val="20"/>
              </w:rPr>
            </w:pPr>
            <w:r>
              <w:rPr>
                <w:b/>
                <w:sz w:val="20"/>
              </w:rPr>
              <w:t>Aggregate Principal Amount: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$1,250,000,000</w:t>
            </w:r>
          </w:p>
        </w:tc>
      </w:tr>
      <w:tr>
        <w:trPr/>
        <w:tc>
          <w:tcPr>
            <w:tcW w:w="3275" w:type="dxa"/>
            <w:tcBorders/>
            <w:vAlign w:val="center"/>
          </w:tcPr>
          <w:p>
            <w:pPr>
              <w:pStyle w:val="TableContents"/>
              <w:bidi w:val="0"/>
              <w:spacing w:before="0" w:after="283"/>
              <w:jc w:val="left"/>
              <w:rPr>
                <w:b/>
                <w:sz w:val="20"/>
              </w:rPr>
            </w:pPr>
            <w:r>
              <w:rPr>
                <w:b/>
                <w:sz w:val="20"/>
              </w:rPr>
              <w:t>Final Maturity Date: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2056</w:t>
            </w:r>
          </w:p>
        </w:tc>
      </w:tr>
      <w:tr>
        <w:trPr/>
        <w:tc>
          <w:tcPr>
            <w:tcW w:w="3275" w:type="dxa"/>
            <w:tcBorders/>
            <w:vAlign w:val="center"/>
          </w:tcPr>
          <w:p>
            <w:pPr>
              <w:pStyle w:val="TableContents"/>
              <w:bidi w:val="0"/>
              <w:spacing w:before="0" w:after="283"/>
              <w:jc w:val="left"/>
              <w:rPr>
                <w:b/>
                <w:sz w:val="20"/>
              </w:rPr>
            </w:pPr>
            <w:r>
              <w:rPr>
                <w:b/>
                <w:sz w:val="20"/>
              </w:rPr>
              <w:t>Public Offering Price: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99.736%, plus accrued and unpaid interest, if any, from March 4, 2026</w:t>
            </w:r>
          </w:p>
        </w:tc>
      </w:tr>
      <w:tr>
        <w:trPr/>
        <w:tc>
          <w:tcPr>
            <w:tcW w:w="3275" w:type="dxa"/>
            <w:tcBorders/>
            <w:vAlign w:val="center"/>
          </w:tcPr>
          <w:p>
            <w:pPr>
              <w:pStyle w:val="TableContents"/>
              <w:bidi w:val="0"/>
              <w:spacing w:before="0" w:after="283"/>
              <w:jc w:val="left"/>
              <w:rPr>
                <w:b/>
                <w:sz w:val="20"/>
              </w:rPr>
            </w:pPr>
            <w:r>
              <w:rPr>
                <w:b/>
                <w:sz w:val="20"/>
              </w:rPr>
              <w:t>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4.625% due November 15, 2055</w:t>
            </w:r>
          </w:p>
        </w:tc>
      </w:tr>
      <w:tr>
        <w:trPr/>
        <w:tc>
          <w:tcPr>
            <w:tcW w:w="3275" w:type="dxa"/>
            <w:tcBorders/>
            <w:vAlign w:val="center"/>
          </w:tcPr>
          <w:p>
            <w:pPr>
              <w:pStyle w:val="TableContents"/>
              <w:bidi w:val="0"/>
              <w:spacing w:before="0" w:after="283"/>
              <w:jc w:val="left"/>
              <w:rPr>
                <w:b/>
                <w:sz w:val="20"/>
              </w:rPr>
            </w:pPr>
            <w:r>
              <w:rPr>
                <w:b/>
                <w:sz w:val="20"/>
              </w:rPr>
              <w:t>Benchmark Treasury Price and Yield:</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98-31+ / 4.688%</w:t>
            </w:r>
          </w:p>
        </w:tc>
      </w:tr>
      <w:tr>
        <w:trPr/>
        <w:tc>
          <w:tcPr>
            <w:tcW w:w="3275" w:type="dxa"/>
            <w:tcBorders/>
            <w:vAlign w:val="center"/>
          </w:tcPr>
          <w:p>
            <w:pPr>
              <w:pStyle w:val="TableContents"/>
              <w:bidi w:val="0"/>
              <w:spacing w:before="0" w:after="283"/>
              <w:jc w:val="left"/>
              <w:rPr>
                <w:b/>
                <w:sz w:val="20"/>
              </w:rPr>
            </w:pPr>
            <w:r>
              <w:rPr>
                <w:b/>
                <w:sz w:val="20"/>
              </w:rPr>
              <w:t>Spread to 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T+88 bps</w:t>
            </w:r>
          </w:p>
        </w:tc>
      </w:tr>
      <w:tr>
        <w:trPr/>
        <w:tc>
          <w:tcPr>
            <w:tcW w:w="3275" w:type="dxa"/>
            <w:tcBorders/>
            <w:vAlign w:val="center"/>
          </w:tcPr>
          <w:p>
            <w:pPr>
              <w:pStyle w:val="TableContents"/>
              <w:bidi w:val="0"/>
              <w:spacing w:before="0" w:after="283"/>
              <w:jc w:val="left"/>
              <w:rPr>
                <w:b/>
                <w:sz w:val="20"/>
              </w:rPr>
            </w:pPr>
            <w:r>
              <w:rPr>
                <w:b/>
                <w:sz w:val="20"/>
              </w:rPr>
              <w:t>Coupon: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5.550%</w:t>
            </w:r>
          </w:p>
        </w:tc>
      </w:tr>
      <w:tr>
        <w:trPr/>
        <w:tc>
          <w:tcPr>
            <w:tcW w:w="3275"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and September 15, commencing September 15, 2026</w:t>
            </w:r>
          </w:p>
        </w:tc>
      </w:tr>
      <w:tr>
        <w:trPr/>
        <w:tc>
          <w:tcPr>
            <w:tcW w:w="3275" w:type="dxa"/>
            <w:tcBorders/>
            <w:vAlign w:val="center"/>
          </w:tcPr>
          <w:p>
            <w:pPr>
              <w:pStyle w:val="TableContents"/>
              <w:bidi w:val="0"/>
              <w:spacing w:before="0" w:after="283"/>
              <w:jc w:val="left"/>
              <w:rPr>
                <w:b/>
                <w:sz w:val="20"/>
              </w:rPr>
            </w:pPr>
            <w:r>
              <w:rPr>
                <w:b/>
                <w:sz w:val="20"/>
              </w:rPr>
              <w:t>Day Count Convention: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30 / 360</w:t>
            </w:r>
          </w:p>
        </w:tc>
      </w:tr>
      <w:tr>
        <w:trPr/>
        <w:tc>
          <w:tcPr>
            <w:tcW w:w="3275" w:type="dxa"/>
            <w:tcBorders/>
            <w:vAlign w:val="center"/>
          </w:tcPr>
          <w:p>
            <w:pPr>
              <w:pStyle w:val="TableContents"/>
              <w:bidi w:val="0"/>
              <w:spacing w:before="0" w:after="283"/>
              <w:jc w:val="left"/>
              <w:rPr>
                <w:b/>
                <w:sz w:val="20"/>
              </w:rPr>
            </w:pPr>
            <w:r>
              <w:rPr>
                <w:b/>
                <w:sz w:val="20"/>
              </w:rPr>
              <w:t>Yield to Maturity: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5.568%</w:t>
            </w:r>
          </w:p>
        </w:tc>
      </w:tr>
      <w:tr>
        <w:trPr/>
        <w:tc>
          <w:tcPr>
            <w:tcW w:w="3275" w:type="dxa"/>
            <w:tcBorders/>
            <w:vAlign w:val="center"/>
          </w:tcPr>
          <w:p>
            <w:pPr>
              <w:pStyle w:val="TableContents"/>
              <w:bidi w:val="0"/>
              <w:spacing w:before="0" w:after="283"/>
              <w:jc w:val="left"/>
              <w:rPr>
                <w:b/>
                <w:sz w:val="20"/>
              </w:rPr>
            </w:pPr>
            <w:r>
              <w:rPr>
                <w:b/>
                <w:sz w:val="20"/>
              </w:rPr>
              <w:t>Make-Whole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Make-whole call at T+15 bps</w:t>
            </w:r>
          </w:p>
        </w:tc>
      </w:tr>
      <w:tr>
        <w:trPr/>
        <w:tc>
          <w:tcPr>
            <w:tcW w:w="3275" w:type="dxa"/>
            <w:tcBorders/>
            <w:vAlign w:val="center"/>
          </w:tcPr>
          <w:p>
            <w:pPr>
              <w:pStyle w:val="TableContents"/>
              <w:bidi w:val="0"/>
              <w:spacing w:before="0" w:after="283"/>
              <w:jc w:val="left"/>
              <w:rPr>
                <w:b/>
                <w:sz w:val="20"/>
              </w:rPr>
            </w:pPr>
            <w:r>
              <w:rPr>
                <w:b/>
                <w:sz w:val="20"/>
              </w:rPr>
              <w:t>Par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On or after September 15, 2055</w:t>
            </w:r>
          </w:p>
        </w:tc>
      </w:tr>
      <w:tr>
        <w:trPr/>
        <w:tc>
          <w:tcPr>
            <w:tcW w:w="3275"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 xml:space="preserve">00287Y EH8 / US00287YEH80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5.650% Senior Notes due 2066</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3275"/>
        <w:gridCol w:w="60"/>
        <w:gridCol w:w="5735"/>
      </w:tblGrid>
      <w:tr>
        <w:trPr/>
        <w:tc>
          <w:tcPr>
            <w:tcW w:w="3275" w:type="dxa"/>
            <w:tcBorders/>
            <w:vAlign w:val="center"/>
          </w:tcPr>
          <w:p>
            <w:pPr>
              <w:pStyle w:val="TableContents"/>
              <w:bidi w:val="0"/>
              <w:spacing w:before="0" w:after="283"/>
              <w:jc w:val="left"/>
              <w:rPr>
                <w:b/>
                <w:sz w:val="20"/>
              </w:rPr>
            </w:pPr>
            <w:r>
              <w:rPr>
                <w:b/>
                <w:sz w:val="20"/>
              </w:rPr>
              <w:t>Aggregate Principal Amount: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$500,000,000</w:t>
            </w:r>
          </w:p>
        </w:tc>
      </w:tr>
      <w:tr>
        <w:trPr/>
        <w:tc>
          <w:tcPr>
            <w:tcW w:w="3275" w:type="dxa"/>
            <w:tcBorders/>
            <w:vAlign w:val="center"/>
          </w:tcPr>
          <w:p>
            <w:pPr>
              <w:pStyle w:val="TableContents"/>
              <w:bidi w:val="0"/>
              <w:spacing w:before="0" w:after="283"/>
              <w:jc w:val="left"/>
              <w:rPr>
                <w:b/>
                <w:sz w:val="20"/>
              </w:rPr>
            </w:pPr>
            <w:r>
              <w:rPr>
                <w:b/>
                <w:sz w:val="20"/>
              </w:rPr>
              <w:t>Final Maturity Date: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2066</w:t>
            </w:r>
          </w:p>
        </w:tc>
      </w:tr>
      <w:tr>
        <w:trPr/>
        <w:tc>
          <w:tcPr>
            <w:tcW w:w="3275" w:type="dxa"/>
            <w:tcBorders/>
            <w:vAlign w:val="center"/>
          </w:tcPr>
          <w:p>
            <w:pPr>
              <w:pStyle w:val="TableContents"/>
              <w:bidi w:val="0"/>
              <w:spacing w:before="0" w:after="283"/>
              <w:jc w:val="left"/>
              <w:rPr>
                <w:b/>
                <w:sz w:val="20"/>
              </w:rPr>
            </w:pPr>
            <w:r>
              <w:rPr>
                <w:b/>
                <w:sz w:val="20"/>
              </w:rPr>
              <w:t>Public Offering Price:</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99.714%, plus accrued and unpaid interest, if any, from March 4, 2026</w:t>
            </w:r>
          </w:p>
        </w:tc>
      </w:tr>
      <w:tr>
        <w:trPr/>
        <w:tc>
          <w:tcPr>
            <w:tcW w:w="3275" w:type="dxa"/>
            <w:tcBorders/>
            <w:vAlign w:val="center"/>
          </w:tcPr>
          <w:p>
            <w:pPr>
              <w:pStyle w:val="TableContents"/>
              <w:bidi w:val="0"/>
              <w:spacing w:before="0" w:after="283"/>
              <w:jc w:val="left"/>
              <w:rPr>
                <w:b/>
                <w:sz w:val="20"/>
              </w:rPr>
            </w:pPr>
            <w:r>
              <w:rPr>
                <w:b/>
                <w:sz w:val="20"/>
              </w:rPr>
              <w:t>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4.625% due November 15, 2055</w:t>
            </w:r>
          </w:p>
        </w:tc>
      </w:tr>
      <w:tr>
        <w:trPr/>
        <w:tc>
          <w:tcPr>
            <w:tcW w:w="3275" w:type="dxa"/>
            <w:tcBorders/>
            <w:vAlign w:val="center"/>
          </w:tcPr>
          <w:p>
            <w:pPr>
              <w:pStyle w:val="TableContents"/>
              <w:bidi w:val="0"/>
              <w:spacing w:before="0" w:after="283"/>
              <w:jc w:val="left"/>
              <w:rPr>
                <w:b/>
                <w:sz w:val="20"/>
              </w:rPr>
            </w:pPr>
            <w:r>
              <w:rPr>
                <w:b/>
                <w:sz w:val="20"/>
              </w:rPr>
              <w:t>Benchmark Treasury Price and Yield:</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98-31+ / 4.688%</w:t>
            </w:r>
          </w:p>
        </w:tc>
      </w:tr>
      <w:tr>
        <w:trPr/>
        <w:tc>
          <w:tcPr>
            <w:tcW w:w="3275" w:type="dxa"/>
            <w:tcBorders/>
            <w:vAlign w:val="center"/>
          </w:tcPr>
          <w:p>
            <w:pPr>
              <w:pStyle w:val="TableContents"/>
              <w:bidi w:val="0"/>
              <w:spacing w:before="0" w:after="283"/>
              <w:jc w:val="left"/>
              <w:rPr>
                <w:b/>
                <w:sz w:val="20"/>
              </w:rPr>
            </w:pPr>
            <w:r>
              <w:rPr>
                <w:b/>
                <w:sz w:val="20"/>
              </w:rPr>
              <w:t>Spread to Benchmark Treasury: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T+98 bps</w:t>
            </w:r>
          </w:p>
        </w:tc>
      </w:tr>
      <w:tr>
        <w:trPr/>
        <w:tc>
          <w:tcPr>
            <w:tcW w:w="3275" w:type="dxa"/>
            <w:tcBorders/>
            <w:vAlign w:val="center"/>
          </w:tcPr>
          <w:p>
            <w:pPr>
              <w:pStyle w:val="TableContents"/>
              <w:bidi w:val="0"/>
              <w:spacing w:before="0" w:after="283"/>
              <w:jc w:val="left"/>
              <w:rPr>
                <w:b/>
                <w:sz w:val="20"/>
              </w:rPr>
            </w:pPr>
            <w:r>
              <w:rPr>
                <w:b/>
                <w:sz w:val="20"/>
              </w:rPr>
              <w:t>Coupon: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5.650%</w:t>
            </w:r>
          </w:p>
        </w:tc>
      </w:tr>
      <w:tr>
        <w:trPr/>
        <w:tc>
          <w:tcPr>
            <w:tcW w:w="3275"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March 15 and September 15, commencing September 15, 2026</w:t>
            </w:r>
          </w:p>
        </w:tc>
      </w:tr>
      <w:tr>
        <w:trPr/>
        <w:tc>
          <w:tcPr>
            <w:tcW w:w="3275" w:type="dxa"/>
            <w:tcBorders/>
            <w:vAlign w:val="center"/>
          </w:tcPr>
          <w:p>
            <w:pPr>
              <w:pStyle w:val="TableContents"/>
              <w:bidi w:val="0"/>
              <w:spacing w:before="0" w:after="283"/>
              <w:jc w:val="left"/>
              <w:rPr>
                <w:b/>
                <w:sz w:val="20"/>
              </w:rPr>
            </w:pPr>
            <w:r>
              <w:rPr>
                <w:b/>
                <w:sz w:val="20"/>
              </w:rPr>
              <w:t>Day Count Convention: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30 / 360</w:t>
            </w:r>
          </w:p>
        </w:tc>
      </w:tr>
      <w:tr>
        <w:trPr/>
        <w:tc>
          <w:tcPr>
            <w:tcW w:w="3275" w:type="dxa"/>
            <w:tcBorders/>
            <w:vAlign w:val="center"/>
          </w:tcPr>
          <w:p>
            <w:pPr>
              <w:pStyle w:val="TableContents"/>
              <w:bidi w:val="0"/>
              <w:spacing w:before="0" w:after="283"/>
              <w:jc w:val="left"/>
              <w:rPr>
                <w:b/>
                <w:sz w:val="20"/>
              </w:rPr>
            </w:pPr>
            <w:r>
              <w:rPr>
                <w:b/>
                <w:sz w:val="20"/>
              </w:rPr>
              <w:t>Yield to Maturity:</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5.668%</w:t>
            </w:r>
          </w:p>
        </w:tc>
      </w:tr>
      <w:tr>
        <w:trPr/>
        <w:tc>
          <w:tcPr>
            <w:tcW w:w="3275" w:type="dxa"/>
            <w:tcBorders/>
            <w:vAlign w:val="center"/>
          </w:tcPr>
          <w:p>
            <w:pPr>
              <w:pStyle w:val="TableContents"/>
              <w:bidi w:val="0"/>
              <w:spacing w:before="0" w:after="283"/>
              <w:jc w:val="left"/>
              <w:rPr>
                <w:b/>
                <w:sz w:val="20"/>
              </w:rPr>
            </w:pPr>
            <w:r>
              <w:rPr>
                <w:b/>
                <w:sz w:val="20"/>
              </w:rPr>
              <w:t>Make-Whole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Make-whole call at T+15 bps</w:t>
            </w:r>
          </w:p>
        </w:tc>
      </w:tr>
      <w:tr>
        <w:trPr/>
        <w:tc>
          <w:tcPr>
            <w:tcW w:w="3275" w:type="dxa"/>
            <w:tcBorders/>
            <w:vAlign w:val="center"/>
          </w:tcPr>
          <w:p>
            <w:pPr>
              <w:pStyle w:val="TableContents"/>
              <w:bidi w:val="0"/>
              <w:spacing w:before="0" w:after="283"/>
              <w:jc w:val="left"/>
              <w:rPr>
                <w:b/>
                <w:sz w:val="20"/>
              </w:rPr>
            </w:pPr>
            <w:r>
              <w:rPr>
                <w:b/>
                <w:sz w:val="20"/>
              </w:rPr>
              <w:t>Par Call:</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On or after September 15, 2065</w:t>
            </w:r>
          </w:p>
        </w:tc>
      </w:tr>
      <w:tr>
        <w:trPr/>
        <w:tc>
          <w:tcPr>
            <w:tcW w:w="3275"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left"/>
              <w:rPr>
                <w:sz w:val="20"/>
              </w:rPr>
            </w:pPr>
            <w:r>
              <w:rPr>
                <w:sz w:val="20"/>
              </w:rPr>
              <w:t xml:space="preserve">00287Y EJ4 / US00287YEJ47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preliminary prospectus supplement and an accompanying prospectus) with the Securities and Exchange Commission (“SEC”) for the offering to which this communication relates.  Before you invest, you should read the prospectus in that registration statement and other documents that the Issuer has filed with the SEC, including the preliminary prospectus supplement, for more complete information about the Issuer and this offering.  You may get these documents for free by visiting the SEC website at www.sec.gov.  Alternatively, the Issuer, any underwriter or any dealer participating in the offering will arrange to send you the preliminary prospectus supplement and the accompanying prospectus if you request it by contacting J.P. Morgan Securities LLC collect at 1-212-834-4533, BofA Securities, Inc. at 1-800-294-1322, Morgan Stanley &amp; Co. LLC at 1-866-718-1649, and Wells Fargo Securities, LLC toll-free at 1-800-645-3751.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4, 2026, which will be the sixth business day following the date of the pricing of the Notes (this settlement cycle being referred to as “T+6”). Under Rule 15c6-1 of the Exchange Act, trades in the secondary market generally are required to settle in one business day, unless the parties to a trade expressly agree otherwise. Accordingly, purchasers who wish to trade Notes on the date of pricing will be required, by virtue of the fact that the Notes initially will settle in T+6,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Issuer ratings are not a recommendation to buy, sell or hold the Notes offered hereby. The ratings may be subject to revision or withdrawal at any time by the relevant rating agency. Each of the Issuer ratings included herein should be evaluated independently of any other Issuer rating.</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used but not defined herein shall have the meanings ascribed thereto in the Issuer’s preliminary prospectus supplement, dated February 24, 2026, to the Issuer’s prospectus, dated February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1533</Words>
  <Characters>8340</Characters>
  <CharactersWithSpaces>9775</CharactersWithSpaces>
  <Paragraphs>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