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Quaggin Susan E</w:t>
              </w:r>
            </w:hyperlink>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AbbVie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ABBV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06/30/2025</w:t>
            </w:r>
          </w:p>
        </w:tc>
        <w:tc>
          <w:tcPr>
            <w:tcW w:w="2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 N. WAUKEGAN ROAD</w:t>
            </w:r>
          </w:p>
        </w:tc>
        <w:tc>
          <w:tcPr>
            <w:tcW w:w="15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2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86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tbl>
      <w:tblPr>
        <w:tblLayout w:type="fixed"/>
        <w:tblInd w:w="100" w:type="dxa"/>
        <w:tblCellMar>
          <w:top w:w="0" w:type="dxa"/>
          <w:left w:w="0" w:type="dxa"/>
          <w:bottom w:w="0" w:type="dxa"/>
          <w:right w:w="0" w:type="dxa"/>
        </w:tblCellMar>
      </w:tblPr>
      <w:tr>
        <w:trPr>
          <w:trHeight w:val="193"/>
        </w:trPr>
        <w:tc>
          <w:tcPr>
            <w:tcW w:w="102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NORTH</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60064</w:t>
            </w:r>
          </w:p>
        </w:tc>
        <w:tc>
          <w:tcPr>
            <w:tcW w:w="0" w:type="dxa"/>
            <w:vAlign w:val="bottom"/>
          </w:tcPr>
          <w:p>
            <w:pPr>
              <w:spacing w:after="0"/>
              <w:rPr>
                <w:sz w:val="1"/>
                <w:szCs w:val="1"/>
                <w:color w:val="auto"/>
              </w:rPr>
            </w:pPr>
          </w:p>
        </w:tc>
      </w:tr>
      <w:tr>
        <w:trPr>
          <w:trHeight w:val="115"/>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81</w:t>
            </w:r>
          </w:p>
        </w:tc>
        <w:tc>
          <w:tcPr>
            <w:tcW w:w="700" w:type="dxa"/>
            <w:vAlign w:val="bottom"/>
          </w:tcPr>
          <w:p>
            <w:pPr>
              <w:spacing w:after="0"/>
              <w:rPr>
                <w:sz w:val="15"/>
                <w:szCs w:val="15"/>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562</w:t>
            </w:r>
            <w:r>
              <w:rPr>
                <w:rFonts w:ascii="Times New Roman" w:cs="Times New Roman" w:eastAsia="Times New Roman" w:hAnsi="Times New Roman"/>
                <w:sz w:val="21"/>
                <w:szCs w:val="21"/>
                <w:color w:val="008000"/>
                <w:vertAlign w:val="superscript"/>
              </w:rPr>
              <w:t>(2)</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185.62</w:t>
            </w: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06/30/2025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81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185.62</w:t>
            </w:r>
          </w:p>
        </w:tc>
        <w:tc>
          <w:tcPr>
            <w:tcW w:w="940" w:type="dxa"/>
            <w:vAlign w:val="bottom"/>
            <w:vMerge w:val="continue"/>
          </w:tcPr>
          <w:p>
            <w:pPr>
              <w:spacing w:after="0"/>
              <w:rPr>
                <w:sz w:val="5"/>
                <w:szCs w:val="5"/>
                <w:color w:val="auto"/>
              </w:rPr>
            </w:pP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fees credited to a stock equivalent unit account under a grantor trust established by the director and paid, in cash, generally at age 65 or upon retirement from the board. The stock equivalent units earn the same return as if the fees were invested in AbbVie stock.</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stock equivalent units acquired pursuant to a dividend reinvestment feature.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T.O. Odutayo, Attorney-in-Fact </w:t>
      </w:r>
      <w:r>
        <w:rPr>
          <w:rFonts w:ascii="Times New Roman" w:cs="Times New Roman" w:eastAsia="Times New Roman" w:hAnsi="Times New Roman"/>
          <w:sz w:val="33"/>
          <w:szCs w:val="33"/>
          <w:color w:val="0000FF"/>
          <w:vertAlign w:val="subscript"/>
        </w:rPr>
        <w:t>07/02/2025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3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Susan E. Quaggin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925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7505" TargetMode="External"/><Relationship Id="rId14"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2025-07-02T16:07:08Z</dcterms:created>
  <dcterms:modified xsi:type="dcterms:W3CDTF">2025-07-02T16:07:08Z</dcterms:modified>
</cp:coreProperties>
</file>