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490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490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FREYMAN THOMAS C</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AbbVie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ABBV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00" w:type="dxa"/>
            <w:vAlign w:val="bottom"/>
            <w:tcBorders>
              <w:bottom w:val="single" w:sz="8" w:color="0000EE"/>
            </w:tcBorders>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05/08/2026</w:t>
            </w:r>
          </w:p>
        </w:tc>
        <w:tc>
          <w:tcPr>
            <w:tcW w:w="2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 N. WAUKEGAN ROAD</w:t>
            </w:r>
          </w:p>
        </w:tc>
        <w:tc>
          <w:tcPr>
            <w:tcW w:w="14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27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80" w:type="dxa"/>
            <w:vAlign w:val="bottom"/>
            <w:tcBorders>
              <w:bottom w:val="single" w:sz="8" w:color="9A9A9A"/>
            </w:tcBorders>
          </w:tcPr>
          <w:p>
            <w:pPr>
              <w:spacing w:after="0"/>
              <w:rPr>
                <w:sz w:val="4"/>
                <w:szCs w:val="4"/>
                <w:color w:val="auto"/>
              </w:rPr>
            </w:pPr>
          </w:p>
        </w:tc>
        <w:tc>
          <w:tcPr>
            <w:tcW w:w="14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00"/>
          </w:cols>
          <w:pgMar w:left="460" w:top="219" w:right="439" w:bottom="153"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60064</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5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7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7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05/08/2026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1,118</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127,869</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4,000</w:t>
            </w:r>
            <w:r>
              <w:rPr>
                <w:rFonts w:ascii="Times New Roman" w:cs="Times New Roman" w:eastAsia="Times New Roman" w:hAnsi="Times New Roman"/>
                <w:sz w:val="22"/>
                <w:szCs w:val="22"/>
                <w:color w:val="008000"/>
                <w:w w:val="93"/>
                <w:vertAlign w:val="superscript"/>
              </w:rPr>
              <w:t>(2)</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226"/>
        </w:trPr>
        <w:tc>
          <w:tcPr>
            <w:tcW w:w="2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 trust</w:t>
            </w:r>
          </w:p>
        </w:tc>
        <w:tc>
          <w:tcPr>
            <w:tcW w:w="0" w:type="dxa"/>
            <w:vAlign w:val="bottom"/>
          </w:tcPr>
          <w:p>
            <w:pPr>
              <w:spacing w:after="0"/>
              <w:rPr>
                <w:sz w:val="1"/>
                <w:szCs w:val="1"/>
                <w:color w:val="auto"/>
              </w:rPr>
            </w:pPr>
          </w:p>
        </w:tc>
      </w:tr>
      <w:tr>
        <w:trPr>
          <w:trHeight w:val="61"/>
        </w:trPr>
        <w:tc>
          <w:tcPr>
            <w:tcW w:w="27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1,941</w:t>
            </w:r>
            <w:r>
              <w:rPr>
                <w:rFonts w:ascii="Times New Roman" w:cs="Times New Roman" w:eastAsia="Times New Roman" w:hAnsi="Times New Roman"/>
                <w:sz w:val="22"/>
                <w:szCs w:val="22"/>
                <w:color w:val="008000"/>
                <w:w w:val="93"/>
                <w:vertAlign w:val="superscript"/>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74"/>
        </w:trPr>
        <w:tc>
          <w:tcPr>
            <w:tcW w:w="276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 trust</w:t>
            </w: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for son</w:t>
            </w:r>
          </w:p>
        </w:tc>
        <w:tc>
          <w:tcPr>
            <w:tcW w:w="0" w:type="dxa"/>
            <w:vAlign w:val="bottom"/>
          </w:tcPr>
          <w:p>
            <w:pPr>
              <w:spacing w:after="0"/>
              <w:rPr>
                <w:sz w:val="1"/>
                <w:szCs w:val="1"/>
                <w:color w:val="auto"/>
              </w:rPr>
            </w:pPr>
          </w:p>
        </w:tc>
      </w:tr>
      <w:tr>
        <w:trPr>
          <w:trHeight w:val="61"/>
        </w:trPr>
        <w:tc>
          <w:tcPr>
            <w:tcW w:w="27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1,941</w:t>
            </w:r>
            <w:r>
              <w:rPr>
                <w:rFonts w:ascii="Times New Roman" w:cs="Times New Roman" w:eastAsia="Times New Roman" w:hAnsi="Times New Roman"/>
                <w:sz w:val="22"/>
                <w:szCs w:val="22"/>
                <w:color w:val="008000"/>
                <w:w w:val="93"/>
                <w:vertAlign w:val="superscript"/>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74"/>
        </w:trPr>
        <w:tc>
          <w:tcPr>
            <w:tcW w:w="276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 trust</w:t>
            </w:r>
          </w:p>
        </w:tc>
        <w:tc>
          <w:tcPr>
            <w:tcW w:w="0" w:type="dxa"/>
            <w:vAlign w:val="bottom"/>
          </w:tcPr>
          <w:p>
            <w:pPr>
              <w:spacing w:after="0"/>
              <w:rPr>
                <w:sz w:val="1"/>
                <w:szCs w:val="1"/>
                <w:color w:val="auto"/>
              </w:rPr>
            </w:pPr>
          </w:p>
        </w:tc>
      </w:tr>
      <w:tr>
        <w:trPr>
          <w:trHeight w:val="52"/>
        </w:trPr>
        <w:tc>
          <w:tcPr>
            <w:tcW w:w="2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for son</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are restricted stock units awarded under the AbbVie Amended and Restated 2013 Incentive Stock Program (the "Program"). They will be paid, on a one-to-one basis, in shares of AbbVie common stock on the earlier of the date of the director's separation from service, death, or the occurrence of a change in control (as defined in the Program).</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spouse is the trustee of the trust. The trust is revocable by his spouse. The reporting person disclaims beneficial ownership of these securities.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in an irrevocable trust for the benefit of the reporting person's son. The reporting person's spouse is the trustee of the trust. The reporting person disclaims beneficial ownership of these securities.</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T.O. Odutayo,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19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Thomas C. Freyman</w:t>
            </w:r>
          </w:p>
        </w:tc>
        <w:tc>
          <w:tcPr>
            <w:tcW w:w="1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80" w:type="dxa"/>
            <w:vAlign w:val="bottom"/>
            <w:tcBorders>
              <w:bottom w:val="single" w:sz="8" w:color="auto"/>
            </w:tcBorders>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9126" TargetMode="External"/><Relationship Id="rId14"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2026-05-12T16:13:32Z</dcterms:created>
  <dcterms:modified xsi:type="dcterms:W3CDTF">2026-05-12T16:13:32Z</dcterms:modified>
</cp:coreProperties>
</file>