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7361d1_8k.htm"/>
      <w:bookmarkStart w:id="1" w:name="kstm2627361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ABBVIE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510"/>
        <w:gridCol w:w="60"/>
        <w:gridCol w:w="2615"/>
        <w:gridCol w:w="60"/>
        <w:gridCol w:w="1775"/>
      </w:tblGrid>
      <w:tr>
        <w:trPr/>
        <w:tc>
          <w:tcPr>
            <w:tcW w:w="2510" w:type="dxa"/>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5_edei--EntityFileNumber_c20261014"/>
            <w:bookmarkEnd w:id="6"/>
            <w:r>
              <w:rPr>
                <w:b/>
              </w:rPr>
              <w:t>001-35565</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b/>
              </w:rPr>
            </w:pPr>
            <w:bookmarkStart w:id="7" w:name="xdx_90C_edei--EntityTaxIdentificationNum"/>
            <w:bookmarkEnd w:id="7"/>
            <w:r>
              <w:rPr>
                <w:b/>
              </w:rPr>
              <w:t>32-0375147</w:t>
            </w:r>
          </w:p>
        </w:tc>
      </w:tr>
      <w:tr>
        <w:trPr/>
        <w:tc>
          <w:tcPr>
            <w:tcW w:w="251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1 North Waukegan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North Chicago, </w:t>
      </w:r>
      <w:bookmarkStart w:id="10" w:name="xdx_901_edei--EntityAddressStateOrProvin"/>
      <w:bookmarkEnd w:id="10"/>
      <w:r>
        <w:rPr>
          <w:rFonts w:ascii="Times New Roman;Times;Serif" w:hAnsi="Times New Roman;Times;Serif"/>
          <w:b/>
          <w:i w:val="false"/>
          <w:caps w:val="false"/>
          <w:smallCaps w:val="false"/>
          <w:sz w:val="20"/>
        </w:rPr>
        <w:t xml:space="preserve">Illinois </w:t>
      </w:r>
      <w:bookmarkStart w:id="11" w:name="xdx_909_edei--EntityAddressPostalZipCode"/>
      <w:bookmarkEnd w:id="11"/>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61014__20"/>
      <w:bookmarkEnd w:id="12"/>
      <w:r>
        <w:rPr>
          <w:rFonts w:ascii="Times New Roman;Times;Serif" w:hAnsi="Times New Roman;Times;Serif"/>
          <w:b/>
          <w:i w:val="false"/>
          <w:caps w:val="false"/>
          <w:smallCaps w:val="false"/>
          <w:sz w:val="20"/>
        </w:rPr>
        <w:t xml:space="preserve">847) </w:t>
      </w:r>
      <w:bookmarkStart w:id="13" w:name="xdx_90F_edei--LocalPhoneNumber_c20261014"/>
      <w:bookmarkEnd w:id="13"/>
      <w:r>
        <w:rPr>
          <w:rFonts w:ascii="Times New Roman;Times;Serif" w:hAnsi="Times New Roman;Times;Serif"/>
          <w:b/>
          <w:i w:val="false"/>
          <w:caps w:val="false"/>
          <w:smallCaps w:val="false"/>
          <w:sz w:val="20"/>
        </w:rPr>
        <w:t>932-7900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7_edei--SolicitingMaterial_c202610"/>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A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15" w:type="dxa"/>
        <w:jc w:val="left"/>
        <w:tblInd w:w="0" w:type="dxa"/>
        <w:tblLayout w:type="fixed"/>
        <w:tblCellMar>
          <w:top w:w="0" w:type="dxa"/>
          <w:left w:w="0" w:type="dxa"/>
          <w:bottom w:w="28" w:type="dxa"/>
          <w:right w:w="0" w:type="dxa"/>
        </w:tblCellMar>
      </w:tblPr>
      <w:tblGrid>
        <w:gridCol w:w="2675"/>
        <w:gridCol w:w="60"/>
        <w:gridCol w:w="1610"/>
        <w:gridCol w:w="60"/>
        <w:gridCol w:w="3710"/>
      </w:tblGrid>
      <w:tr>
        <w:trPr/>
        <w:tc>
          <w:tcPr>
            <w:tcW w:w="267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F_edei--Security12bTitle_c20261014"/>
            <w:bookmarkEnd w:id="18"/>
            <w:r>
              <w:rPr>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E_edei--TradingSymbol_c20261014__2"/>
            <w:bookmarkEnd w:id="19"/>
            <w:r>
              <w:rPr>
                <w:sz w:val="20"/>
              </w:rPr>
              <w:t>ABBV</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1_edei--SecurityExchangeName_c2026"/>
            <w:bookmarkEnd w:id="20"/>
            <w:r>
              <w:rPr>
                <w:sz w:val="20"/>
              </w:rPr>
              <w:t>New York Stock Exchange</w:t>
            </w:r>
          </w:p>
        </w:tc>
      </w:tr>
      <w:tr>
        <w:trPr/>
        <w:tc>
          <w:tcPr>
            <w:tcW w:w="26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NYSE Texas</w:t>
            </w:r>
          </w:p>
        </w:tc>
      </w:tr>
      <w:tr>
        <w:trPr/>
        <w:tc>
          <w:tcPr>
            <w:tcW w:w="2675" w:type="dxa"/>
            <w:tcBorders/>
            <w:tcMar>
              <w:bottom w:w="0" w:type="dxa"/>
            </w:tcMar>
            <w:vAlign w:val="center"/>
          </w:tcPr>
          <w:p>
            <w:pPr>
              <w:pStyle w:val="TableContents"/>
              <w:bidi w:val="0"/>
              <w:spacing w:before="0" w:after="283"/>
              <w:jc w:val="center"/>
              <w:rPr>
                <w:sz w:val="20"/>
              </w:rPr>
            </w:pPr>
            <w:bookmarkStart w:id="21" w:name="xdx_902_edei--Security12bTitle_c20261014"/>
            <w:bookmarkEnd w:id="21"/>
            <w:r>
              <w:rPr>
                <w:sz w:val="20"/>
              </w:rPr>
              <w:t>0.750% Senior Notes due 2027</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2" w:name="xdx_904_edei--TradingSymbol_c20261014__2"/>
            <w:bookmarkEnd w:id="22"/>
            <w:r>
              <w:rPr>
                <w:sz w:val="20"/>
              </w:rPr>
              <w:t>ABBV27</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3" w:name="xdx_903_edei--SecurityExchangeName_c2026"/>
            <w:bookmarkEnd w:id="23"/>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24" w:name="xdx_90D_edei--Security12bTitle_c20261014"/>
            <w:bookmarkEnd w:id="24"/>
            <w:r>
              <w:rPr>
                <w:sz w:val="20"/>
              </w:rPr>
              <w:t>2.125% Senior Notes due 2028</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5" w:name="xdx_909_edei--TradingSymbol_c20261014__2"/>
            <w:bookmarkEnd w:id="25"/>
            <w:r>
              <w:rPr>
                <w:sz w:val="20"/>
              </w:rPr>
              <w:t>ABBV28</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6" w:name="xdx_90E_edei--SecurityExchangeName_c2026"/>
            <w:bookmarkEnd w:id="26"/>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27" w:name="xdx_905_edei--Security12bTitle_c20261014"/>
            <w:bookmarkEnd w:id="27"/>
            <w:r>
              <w:rPr>
                <w:sz w:val="20"/>
              </w:rPr>
              <w:t>2.625% Senior Notes due 2028</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8" w:name="xdx_90B_edei--TradingSymbol_c20261014__2"/>
            <w:bookmarkEnd w:id="28"/>
            <w:r>
              <w:rPr>
                <w:sz w:val="20"/>
              </w:rPr>
              <w:t>ABBV28B</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9" w:name="xdx_906_edei--SecurityExchangeName_c2026"/>
            <w:bookmarkEnd w:id="29"/>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30" w:name="xdx_90E_edei--Security12bTitle_c20261014"/>
            <w:bookmarkEnd w:id="30"/>
            <w:r>
              <w:rPr>
                <w:sz w:val="20"/>
              </w:rPr>
              <w:t>2.125% Senior Notes due 2029</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31" w:name="xdx_905_edei--TradingSymbol_c20261014__2"/>
            <w:bookmarkEnd w:id="31"/>
            <w:r>
              <w:rPr>
                <w:sz w:val="20"/>
              </w:rPr>
              <w:t>ABBV29</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32" w:name="xdx_90F_edei--SecurityExchangeName_c2026"/>
            <w:bookmarkEnd w:id="32"/>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33" w:name="xdx_900_edei--Security12bTitle_c20261014"/>
            <w:bookmarkEnd w:id="33"/>
            <w:r>
              <w:rPr>
                <w:sz w:val="20"/>
              </w:rPr>
              <w:t>1.250% Senior Notes due 2031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34" w:name="xdx_908_edei--TradingSymbol_c20261014__2"/>
            <w:bookmarkEnd w:id="34"/>
            <w:r>
              <w:rPr>
                <w:sz w:val="20"/>
              </w:rPr>
              <w:t>ABBV31</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35" w:name="xdx_905_edei--SecurityExchangeName_c2026"/>
            <w:bookmarkEnd w:id="35"/>
            <w:r>
              <w:rPr>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6" w:name="xdx_90F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5.02 Departure of Directors or Certain Officers; Election of Directors; Appointment of Certain Officers; Compensatory Arrangement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AbbVie Inc. (“AbbVie”) expanded the size of its Board of Directors (the “Board”) from twelve directors to thirteen directors and appointed Dr. John M. Carethers as a Class II director. Dr. Carethers currently serves as the Vice Chancellor for Health Sciences at the University of California San Diego and was previously a director of Avantor, Inc. Dr. Carethers has been appointed to the Public Policy and Sustainability Committee of AbbVie. The Board affirmatively determined that Dr. Carethers is an “independent director” under each of the standards set forth in section 303A.02 of the New York Stock Exchange Listed Company Manual and AbbVie’s Governance Guidelines and Director Independence Guidelines. Dr. Carethers will be entitled to compensation as an independent director as disclosed in Exhibit 10.5 to AbbVie’s Quarterly Report on Form 10-Q for the quarterly period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70"/>
        <w:gridCol w:w="1430"/>
        <w:gridCol w:w="320"/>
        <w:gridCol w:w="4700"/>
      </w:tblGrid>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ABBVIE INC.</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Perry C. Siatis</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Perry C. Siatis </w:t>
            </w:r>
          </w:p>
        </w:tc>
      </w:tr>
      <w:tr>
        <w:trPr/>
        <w:tc>
          <w:tcPr>
            <w:tcW w:w="4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Vice President, General Counsel and Secretary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555</Words>
  <Characters>3047</Characters>
  <CharactersWithSpaces>3612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