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4022026_050411.xml.htm"/>
      <w:bookmarkStart w:id="1" w:name="ksform404022026_05041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Quaggin Susan 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 N. WAUKEGAN ROAD</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NORTH CHICAGO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60064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AbbVie Inc.</w:t>
              </w:r>
            </w:hyperlink>
            <w:r>
              <w:rPr/>
              <w:t xml:space="preserve"> [ </w:t>
            </w:r>
            <w:r>
              <w:rPr>
                <w:rFonts w:ascii="Times;serif" w:hAnsi="Times;serif"/>
                <w:color w:val="0000FF"/>
                <w:sz w:val="24"/>
                <w:shd w:fill="FFFFFF" w:val="clear"/>
              </w:rPr>
              <w:t>ABBV</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03/31/2026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918" w:type="dxa"/>
        <w:jc w:val="left"/>
        <w:tblInd w:w="-7" w:type="dxa"/>
        <w:tblLayout w:type="fixed"/>
        <w:tblCellMar>
          <w:top w:w="60" w:type="dxa"/>
          <w:left w:w="60" w:type="dxa"/>
          <w:bottom w:w="60" w:type="dxa"/>
          <w:right w:w="60" w:type="dxa"/>
        </w:tblCellMar>
      </w:tblPr>
      <w:tblGrid>
        <w:gridCol w:w="1055"/>
        <w:gridCol w:w="861"/>
        <w:gridCol w:w="891"/>
        <w:gridCol w:w="771"/>
        <w:gridCol w:w="591"/>
        <w:gridCol w:w="300"/>
        <w:gridCol w:w="448"/>
        <w:gridCol w:w="353"/>
        <w:gridCol w:w="906"/>
        <w:gridCol w:w="801"/>
        <w:gridCol w:w="891"/>
        <w:gridCol w:w="636"/>
        <w:gridCol w:w="801"/>
        <w:gridCol w:w="936"/>
        <w:gridCol w:w="831"/>
        <w:gridCol w:w="846"/>
      </w:tblGrid>
      <w:tr>
        <w:trPr>
          <w:tblHeader w:val="true"/>
        </w:trPr>
        <w:tc>
          <w:tcPr>
            <w:tcW w:w="11918"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0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0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48"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35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0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Equivalent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217.49</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03/31/2026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71</w:t>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217.49</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784</w:t>
            </w:r>
            <w:r>
              <w:rPr>
                <w:rFonts w:ascii="Times;serif" w:hAnsi="Times;serif"/>
                <w:color w:val="008000"/>
                <w:position w:val="7"/>
                <w:sz w:val="16"/>
                <w:sz w:val="20"/>
                <w:shd w:fill="FFFFFF" w:val="clear"/>
              </w:rPr>
              <w:t>(2)</w:t>
            </w:r>
            <w:r>
              <w:rPr/>
              <w:t xml:space="preserve"> </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Director fees credited to a stock equivalent unit account under a grantor trust established by the director and paid, in cash, generally at age 65 or upon retirement from the board. The stock equivalent units earn the same return as if the fees were invested in AbbVie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Balance includes stock equivalent units acquired pursuant to a dividend reinvestment feature.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T.O. Odutayo, Attorney-in-Fact for Susan E. Quaggin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04/02/2026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97505" TargetMode="External"/><Relationship Id="rId5" Type="http://schemas.openxmlformats.org/officeDocument/2006/relationships/hyperlink" Target="http://www.sec.gov/cgi-bin/browse-edgar?action=getcompany&amp;CIK=000155115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629</Words>
  <Characters>3383</Characters>
  <CharactersWithSpaces>3952</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